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774F" w14:textId="33FEE392" w:rsidR="000E1479" w:rsidRPr="0052027A" w:rsidRDefault="000E1479" w:rsidP="0052027A">
      <w:pPr>
        <w:jc w:val="both"/>
        <w:rPr>
          <w:b/>
          <w:sz w:val="32"/>
          <w:szCs w:val="32"/>
        </w:rPr>
      </w:pPr>
      <w:r w:rsidRPr="0052027A">
        <w:rPr>
          <w:b/>
          <w:sz w:val="32"/>
          <w:szCs w:val="32"/>
        </w:rPr>
        <w:t>TITLE</w:t>
      </w:r>
      <w:r w:rsidR="00655D2A" w:rsidRPr="0052027A">
        <w:rPr>
          <w:b/>
          <w:sz w:val="32"/>
          <w:szCs w:val="32"/>
        </w:rPr>
        <w:t xml:space="preserve"> OF THE RESEARCH/STUDY</w:t>
      </w:r>
      <w:r w:rsidRPr="0052027A">
        <w:rPr>
          <w:b/>
          <w:sz w:val="32"/>
          <w:szCs w:val="32"/>
        </w:rPr>
        <w:t xml:space="preserve"> (SHOULD BE IN ENGLISH</w:t>
      </w:r>
      <w:r w:rsidR="0027744B" w:rsidRPr="0052027A">
        <w:rPr>
          <w:b/>
          <w:sz w:val="32"/>
          <w:szCs w:val="32"/>
        </w:rPr>
        <w:t>;</w:t>
      </w:r>
      <w:r w:rsidRPr="0052027A">
        <w:rPr>
          <w:b/>
          <w:sz w:val="32"/>
          <w:szCs w:val="32"/>
        </w:rPr>
        <w:t xml:space="preserve"> CONCISE AND INFORMATIVE)</w:t>
      </w:r>
    </w:p>
    <w:p w14:paraId="1936DA15" w14:textId="77777777" w:rsidR="000E1479" w:rsidRPr="0052027A" w:rsidRDefault="000E1479" w:rsidP="0052027A">
      <w:pPr>
        <w:jc w:val="both"/>
      </w:pPr>
    </w:p>
    <w:p w14:paraId="68591CEF" w14:textId="3FACAD1F" w:rsidR="000E1479" w:rsidRPr="0052027A" w:rsidRDefault="000E1479" w:rsidP="0052027A">
      <w:pPr>
        <w:jc w:val="both"/>
        <w:rPr>
          <w:b/>
        </w:rPr>
      </w:pPr>
      <w:r w:rsidRPr="0052027A">
        <w:rPr>
          <w:b/>
        </w:rPr>
        <w:t>First Author</w:t>
      </w:r>
      <w:r w:rsidRPr="0052027A">
        <w:rPr>
          <w:b/>
          <w:vertAlign w:val="superscript"/>
        </w:rPr>
        <w:t>1</w:t>
      </w:r>
      <w:r w:rsidRPr="0052027A">
        <w:rPr>
          <w:b/>
        </w:rPr>
        <w:t>*, Second Author</w:t>
      </w:r>
      <w:r w:rsidRPr="0052027A">
        <w:rPr>
          <w:b/>
          <w:vertAlign w:val="superscript"/>
        </w:rPr>
        <w:t>2</w:t>
      </w:r>
      <w:r w:rsidRPr="0052027A">
        <w:rPr>
          <w:b/>
        </w:rPr>
        <w:t>, Third Author</w:t>
      </w:r>
      <w:r w:rsidRPr="0052027A">
        <w:rPr>
          <w:b/>
          <w:vertAlign w:val="superscript"/>
        </w:rPr>
        <w:t>2,3</w:t>
      </w:r>
      <w:r w:rsidRPr="0052027A">
        <w:rPr>
          <w:b/>
        </w:rPr>
        <w:t>, Fourth Author</w:t>
      </w:r>
      <w:r w:rsidRPr="0052027A">
        <w:rPr>
          <w:b/>
          <w:vertAlign w:val="superscript"/>
        </w:rPr>
        <w:t>1,3</w:t>
      </w:r>
      <w:r w:rsidR="009737A5" w:rsidRPr="0052027A">
        <w:rPr>
          <w:b/>
        </w:rPr>
        <w:t>, etc.</w:t>
      </w:r>
    </w:p>
    <w:p w14:paraId="3DB7FDB4" w14:textId="77777777" w:rsidR="000E1479" w:rsidRPr="0052027A" w:rsidRDefault="000E1479" w:rsidP="0052027A">
      <w:pPr>
        <w:jc w:val="both"/>
      </w:pPr>
      <w:r w:rsidRPr="0052027A">
        <w:rPr>
          <w:vertAlign w:val="superscript"/>
        </w:rPr>
        <w:t>1</w:t>
      </w:r>
      <w:r w:rsidRPr="0052027A">
        <w:t>Department/Unit, Institution, City – COUNTRY</w:t>
      </w:r>
    </w:p>
    <w:p w14:paraId="568CA60D" w14:textId="77777777" w:rsidR="000E1479" w:rsidRPr="0052027A" w:rsidRDefault="000E1479" w:rsidP="0052027A">
      <w:pPr>
        <w:jc w:val="both"/>
      </w:pPr>
      <w:r w:rsidRPr="0052027A">
        <w:rPr>
          <w:vertAlign w:val="superscript"/>
        </w:rPr>
        <w:t>2</w:t>
      </w:r>
      <w:r w:rsidRPr="0052027A">
        <w:t>Department/Unit, Institution, City – COUNTRY</w:t>
      </w:r>
    </w:p>
    <w:p w14:paraId="6CCB1B62" w14:textId="77777777" w:rsidR="000E1479" w:rsidRPr="0052027A" w:rsidRDefault="000E1479" w:rsidP="0052027A">
      <w:pPr>
        <w:jc w:val="both"/>
      </w:pPr>
      <w:r w:rsidRPr="0052027A">
        <w:rPr>
          <w:vertAlign w:val="superscript"/>
        </w:rPr>
        <w:t>3</w:t>
      </w:r>
      <w:r w:rsidRPr="0052027A">
        <w:t>Department/Unit, Institution, City – COUNTRY</w:t>
      </w:r>
    </w:p>
    <w:p w14:paraId="46E67690" w14:textId="77777777" w:rsidR="000E1479" w:rsidRPr="0052027A" w:rsidRDefault="000E1479" w:rsidP="0052027A">
      <w:pPr>
        <w:jc w:val="both"/>
      </w:pPr>
    </w:p>
    <w:p w14:paraId="125F44D0" w14:textId="443EDCD3" w:rsidR="000E1479" w:rsidRPr="0052027A" w:rsidRDefault="000E1479" w:rsidP="0052027A">
      <w:pPr>
        <w:jc w:val="both"/>
      </w:pPr>
      <w:r w:rsidRPr="0052027A">
        <w:t>*corresponding author, contact: (</w:t>
      </w:r>
      <w:r w:rsidR="009737A5" w:rsidRPr="0052027A">
        <w:t xml:space="preserve">add postal and </w:t>
      </w:r>
      <w:r w:rsidRPr="0052027A">
        <w:t>email address of the corresponding author)</w:t>
      </w:r>
    </w:p>
    <w:p w14:paraId="6BDF9283" w14:textId="77777777" w:rsidR="000E1479" w:rsidRPr="0052027A" w:rsidRDefault="000E1479" w:rsidP="0052027A">
      <w:pPr>
        <w:jc w:val="both"/>
      </w:pPr>
    </w:p>
    <w:p w14:paraId="666F9DD4" w14:textId="77777777" w:rsidR="006626F8" w:rsidRPr="0052027A" w:rsidRDefault="006626F8" w:rsidP="0052027A">
      <w:pPr>
        <w:jc w:val="both"/>
      </w:pPr>
    </w:p>
    <w:p w14:paraId="7A767C90" w14:textId="77777777" w:rsidR="000E1479" w:rsidRPr="0052027A" w:rsidRDefault="000E1479" w:rsidP="0052027A">
      <w:pPr>
        <w:jc w:val="both"/>
        <w:rPr>
          <w:b/>
        </w:rPr>
      </w:pPr>
      <w:r w:rsidRPr="0052027A">
        <w:rPr>
          <w:b/>
        </w:rPr>
        <w:t>ABSTRACT</w:t>
      </w:r>
    </w:p>
    <w:p w14:paraId="2E959953" w14:textId="74B6B731" w:rsidR="000E1479" w:rsidRPr="0052027A" w:rsidRDefault="000E1479" w:rsidP="0052027A">
      <w:pPr>
        <w:jc w:val="both"/>
      </w:pPr>
      <w:r w:rsidRPr="0052027A">
        <w:t xml:space="preserve">(max </w:t>
      </w:r>
      <w:r w:rsidR="006626F8" w:rsidRPr="0052027A">
        <w:t>300</w:t>
      </w:r>
      <w:r w:rsidRPr="0052027A">
        <w:t xml:space="preserve"> words)</w:t>
      </w:r>
    </w:p>
    <w:p w14:paraId="5CE832E1" w14:textId="77777777" w:rsidR="000E1479" w:rsidRPr="0052027A" w:rsidRDefault="000E1479" w:rsidP="0052027A">
      <w:pPr>
        <w:jc w:val="both"/>
      </w:pPr>
    </w:p>
    <w:p w14:paraId="52F4D49A" w14:textId="5579B578" w:rsidR="000E1479" w:rsidRPr="0052027A" w:rsidRDefault="000E1479" w:rsidP="0052027A">
      <w:pPr>
        <w:jc w:val="both"/>
      </w:pPr>
      <w:r w:rsidRPr="0052027A">
        <w:rPr>
          <w:b/>
        </w:rPr>
        <w:t xml:space="preserve">Background: </w:t>
      </w:r>
      <w:r w:rsidRPr="0052027A">
        <w:t xml:space="preserve">the </w:t>
      </w:r>
      <w:r w:rsidR="009737A5" w:rsidRPr="0052027A">
        <w:t>context and purpose</w:t>
      </w:r>
      <w:r w:rsidRPr="0052027A">
        <w:t xml:space="preserve"> of the study.</w:t>
      </w:r>
    </w:p>
    <w:p w14:paraId="5DC23F8F" w14:textId="223866DB" w:rsidR="000E1479" w:rsidRPr="0052027A" w:rsidRDefault="000E1479" w:rsidP="0052027A">
      <w:r w:rsidRPr="0052027A">
        <w:rPr>
          <w:b/>
        </w:rPr>
        <w:t>Methods:</w:t>
      </w:r>
      <w:r w:rsidRPr="0052027A">
        <w:t xml:space="preserve"> </w:t>
      </w:r>
      <w:r w:rsidR="009737A5" w:rsidRPr="0052027A">
        <w:t>how the study was performed and statistical tests used</w:t>
      </w:r>
      <w:r w:rsidRPr="0052027A">
        <w:t>.</w:t>
      </w:r>
    </w:p>
    <w:p w14:paraId="000D2938" w14:textId="1E96E10E" w:rsidR="000E1479" w:rsidRPr="0052027A" w:rsidRDefault="000E1479" w:rsidP="0052027A">
      <w:pPr>
        <w:jc w:val="both"/>
      </w:pPr>
      <w:r w:rsidRPr="0052027A">
        <w:rPr>
          <w:b/>
        </w:rPr>
        <w:t xml:space="preserve">Results: </w:t>
      </w:r>
      <w:r w:rsidRPr="0052027A">
        <w:t xml:space="preserve">the highlights of </w:t>
      </w:r>
      <w:r w:rsidR="009737A5" w:rsidRPr="0052027A">
        <w:t>main findings</w:t>
      </w:r>
      <w:r w:rsidRPr="0052027A">
        <w:t>.</w:t>
      </w:r>
    </w:p>
    <w:p w14:paraId="13F2FBC6" w14:textId="32859F76" w:rsidR="000E1479" w:rsidRPr="0052027A" w:rsidRDefault="000E1479" w:rsidP="0052027A">
      <w:r w:rsidRPr="0052027A">
        <w:rPr>
          <w:b/>
        </w:rPr>
        <w:t>Conclusion:</w:t>
      </w:r>
      <w:r w:rsidRPr="0052027A">
        <w:t xml:space="preserve"> </w:t>
      </w:r>
      <w:r w:rsidR="009737A5" w:rsidRPr="0052027A">
        <w:t>brief summary and potential implications</w:t>
      </w:r>
      <w:r w:rsidRPr="0052027A">
        <w:t>.</w:t>
      </w:r>
    </w:p>
    <w:p w14:paraId="6BB197C5" w14:textId="77777777" w:rsidR="000E1479" w:rsidRPr="0052027A" w:rsidRDefault="000E1479" w:rsidP="0052027A">
      <w:pPr>
        <w:jc w:val="both"/>
      </w:pPr>
    </w:p>
    <w:p w14:paraId="17185AF2" w14:textId="670933DC" w:rsidR="000E1479" w:rsidRPr="0052027A" w:rsidRDefault="000E1479" w:rsidP="0052027A">
      <w:pPr>
        <w:jc w:val="both"/>
      </w:pPr>
      <w:r w:rsidRPr="0052027A">
        <w:rPr>
          <w:b/>
        </w:rPr>
        <w:t>Keywords:</w:t>
      </w:r>
      <w:r w:rsidRPr="0052027A">
        <w:t xml:space="preserve"> please write 3-</w:t>
      </w:r>
      <w:r w:rsidR="009737A5" w:rsidRPr="0052027A">
        <w:t>7</w:t>
      </w:r>
      <w:r w:rsidRPr="0052027A">
        <w:t xml:space="preserve"> keywords </w:t>
      </w:r>
      <w:r w:rsidR="009737A5" w:rsidRPr="0052027A">
        <w:t>(each keywords max. 5-words) representing the main contents</w:t>
      </w:r>
      <w:r w:rsidRPr="0052027A">
        <w:t xml:space="preserve"> to this study</w:t>
      </w:r>
    </w:p>
    <w:p w14:paraId="1C65B96D" w14:textId="7AFAF95F" w:rsidR="000E1479" w:rsidRPr="0052027A" w:rsidRDefault="000E1479" w:rsidP="0052027A">
      <w:pPr>
        <w:jc w:val="both"/>
      </w:pPr>
    </w:p>
    <w:p w14:paraId="093DBCA8" w14:textId="77777777" w:rsidR="00094351" w:rsidRPr="0052027A" w:rsidRDefault="00094351" w:rsidP="0052027A">
      <w:pPr>
        <w:jc w:val="both"/>
      </w:pPr>
    </w:p>
    <w:p w14:paraId="094D7129" w14:textId="3E52F1A2" w:rsidR="00094351" w:rsidRPr="0052027A" w:rsidRDefault="00094351" w:rsidP="0052027A">
      <w:pPr>
        <w:shd w:val="clear" w:color="auto" w:fill="E2EFD9" w:themeFill="accent6" w:themeFillTint="33"/>
        <w:jc w:val="center"/>
        <w:rPr>
          <w:b/>
          <w:bCs/>
          <w:color w:val="FF0000"/>
        </w:rPr>
      </w:pPr>
      <w:r w:rsidRPr="0052027A">
        <w:rPr>
          <w:b/>
          <w:bCs/>
          <w:color w:val="FF0000"/>
        </w:rPr>
        <w:t>-------------end title and abstract page, start of manuscript body---------------</w:t>
      </w:r>
    </w:p>
    <w:p w14:paraId="2D3C9C85" w14:textId="77777777" w:rsidR="00094351" w:rsidRPr="0052027A" w:rsidRDefault="00094351" w:rsidP="0052027A">
      <w:pPr>
        <w:jc w:val="both"/>
      </w:pPr>
    </w:p>
    <w:p w14:paraId="667ECE67" w14:textId="77777777" w:rsidR="00F56CC8" w:rsidRPr="0052027A" w:rsidRDefault="00F56CC8" w:rsidP="0052027A">
      <w:pPr>
        <w:jc w:val="both"/>
      </w:pPr>
    </w:p>
    <w:p w14:paraId="26AA177D" w14:textId="405FCD49" w:rsidR="00F56CC8" w:rsidRPr="0052027A" w:rsidRDefault="00F56CC8" w:rsidP="0052027A">
      <w:pPr>
        <w:jc w:val="both"/>
        <w:rPr>
          <w:b/>
        </w:rPr>
      </w:pPr>
      <w:r w:rsidRPr="0052027A">
        <w:rPr>
          <w:b/>
        </w:rPr>
        <w:t>INTRODUCTION</w:t>
      </w:r>
    </w:p>
    <w:p w14:paraId="3C90CBCC" w14:textId="77777777" w:rsidR="00CF7900" w:rsidRPr="0052027A" w:rsidRDefault="00CF7900" w:rsidP="0052027A">
      <w:pPr>
        <w:jc w:val="both"/>
        <w:rPr>
          <w:i/>
          <w:color w:val="FF0000"/>
        </w:rPr>
      </w:pPr>
    </w:p>
    <w:p w14:paraId="19E7178B" w14:textId="77777777" w:rsidR="00F56CC8" w:rsidRPr="0052027A" w:rsidRDefault="00F56CC8" w:rsidP="0052027A">
      <w:pPr>
        <w:jc w:val="both"/>
      </w:pPr>
      <w:r w:rsidRPr="0052027A">
        <w:t>The introduction should discuss the background of the research, the rationale and the research questions and/or aims. In this section, the current evidence on the topic should be discussed to subsequently be related to the research gap which would be addressed by the research.</w:t>
      </w:r>
    </w:p>
    <w:p w14:paraId="517EFF72" w14:textId="0F0C96FE" w:rsidR="000E1479" w:rsidRPr="0052027A" w:rsidRDefault="000E1479" w:rsidP="0052027A">
      <w:pPr>
        <w:jc w:val="both"/>
      </w:pPr>
    </w:p>
    <w:p w14:paraId="71093828" w14:textId="77777777" w:rsidR="00094351" w:rsidRPr="0052027A" w:rsidRDefault="00094351" w:rsidP="0052027A">
      <w:pPr>
        <w:jc w:val="both"/>
      </w:pPr>
    </w:p>
    <w:p w14:paraId="101A8AFD" w14:textId="6A7C6FF4" w:rsidR="000E1479" w:rsidRPr="0052027A" w:rsidRDefault="00F56CC8" w:rsidP="0052027A">
      <w:pPr>
        <w:jc w:val="both"/>
        <w:rPr>
          <w:b/>
        </w:rPr>
      </w:pPr>
      <w:r w:rsidRPr="0052027A">
        <w:rPr>
          <w:b/>
        </w:rPr>
        <w:t>METHODS</w:t>
      </w:r>
    </w:p>
    <w:p w14:paraId="337C3F84" w14:textId="77777777" w:rsidR="002A01B2" w:rsidRPr="0052027A" w:rsidRDefault="002A01B2" w:rsidP="0052027A">
      <w:pPr>
        <w:jc w:val="both"/>
      </w:pPr>
    </w:p>
    <w:p w14:paraId="409D7B34" w14:textId="01367E66" w:rsidR="00F56CC8" w:rsidRPr="0052027A" w:rsidRDefault="00F56CC8" w:rsidP="0052027A">
      <w:r w:rsidRPr="0052027A">
        <w:t>This section should include the research design applied, context</w:t>
      </w:r>
      <w:r w:rsidR="00D15287">
        <w:t xml:space="preserve"> (i.e., institutions, regions, organizations, time, etc.)</w:t>
      </w:r>
      <w:r w:rsidRPr="0052027A">
        <w:t xml:space="preserve">, subject and sampling, data collection </w:t>
      </w:r>
      <w:r w:rsidR="00D15287">
        <w:t xml:space="preserve">(i.e., process and </w:t>
      </w:r>
      <w:r w:rsidRPr="0052027A">
        <w:t>tools</w:t>
      </w:r>
      <w:r w:rsidR="00D15287">
        <w:t>)</w:t>
      </w:r>
      <w:r w:rsidRPr="0052027A">
        <w:t xml:space="preserve">, data analysis and the steps of the research. </w:t>
      </w:r>
      <w:r w:rsidR="006626F8" w:rsidRPr="0052027A">
        <w:t>Please provi</w:t>
      </w:r>
      <w:r w:rsidR="00E360E4">
        <w:t>d</w:t>
      </w:r>
      <w:r w:rsidR="006626F8" w:rsidRPr="0052027A">
        <w:t xml:space="preserve">e a clear description of all processes, interventions and comparisons. </w:t>
      </w:r>
      <w:r w:rsidR="00D15287">
        <w:t xml:space="preserve">Research design should be stated clearly (i.e., quantitative, qualitative, mixed-methods, reviews, etc.). </w:t>
      </w:r>
      <w:r w:rsidR="006626F8" w:rsidRPr="0052027A">
        <w:t>A thorough explanation on the type of statistical analysis used, including a power calculation should be described if appropriate.</w:t>
      </w:r>
    </w:p>
    <w:p w14:paraId="748C41F8" w14:textId="09BC44FB" w:rsidR="00F56CC8" w:rsidRPr="0052027A" w:rsidRDefault="00F56CC8" w:rsidP="0052027A">
      <w:pPr>
        <w:jc w:val="both"/>
      </w:pPr>
    </w:p>
    <w:p w14:paraId="16AEFAC6" w14:textId="77777777" w:rsidR="00094351" w:rsidRPr="0052027A" w:rsidRDefault="00094351" w:rsidP="0052027A">
      <w:pPr>
        <w:jc w:val="both"/>
      </w:pPr>
    </w:p>
    <w:p w14:paraId="43CBBD41" w14:textId="05BE99CF" w:rsidR="00F56CC8" w:rsidRPr="0052027A" w:rsidRDefault="00F56CC8" w:rsidP="0052027A">
      <w:pPr>
        <w:jc w:val="both"/>
        <w:rPr>
          <w:b/>
        </w:rPr>
      </w:pPr>
      <w:r w:rsidRPr="0052027A">
        <w:rPr>
          <w:b/>
        </w:rPr>
        <w:t>RESULTS</w:t>
      </w:r>
    </w:p>
    <w:p w14:paraId="77D29610" w14:textId="77777777" w:rsidR="002A01B2" w:rsidRPr="0052027A" w:rsidRDefault="002A01B2" w:rsidP="0052027A">
      <w:pPr>
        <w:jc w:val="both"/>
      </w:pPr>
    </w:p>
    <w:p w14:paraId="1212007D" w14:textId="5A3740C9" w:rsidR="006626F8" w:rsidRPr="0052027A" w:rsidRDefault="006626F8" w:rsidP="0052027A">
      <w:r w:rsidRPr="0052027A">
        <w:t>This section should include the findings of the study including, if appropriate, results of statistical analysis which must be included either in the text or as tables and figures.</w:t>
      </w:r>
    </w:p>
    <w:p w14:paraId="3E573243" w14:textId="77777777" w:rsidR="006626F8" w:rsidRPr="0052027A" w:rsidRDefault="006626F8" w:rsidP="0052027A">
      <w:pPr>
        <w:jc w:val="both"/>
      </w:pPr>
    </w:p>
    <w:p w14:paraId="2A23F824" w14:textId="77777777" w:rsidR="00F56CC8" w:rsidRPr="0052027A" w:rsidRDefault="00F56CC8" w:rsidP="0052027A">
      <w:pPr>
        <w:jc w:val="center"/>
      </w:pPr>
      <w:r w:rsidRPr="0052027A">
        <w:t xml:space="preserve">Table 1. Example of </w:t>
      </w:r>
      <w:r w:rsidR="00CF7900" w:rsidRPr="0052027A">
        <w:t>t</w:t>
      </w:r>
      <w:r w:rsidRPr="0052027A">
        <w:t xml:space="preserve">able </w:t>
      </w:r>
      <w:r w:rsidR="00CF7900" w:rsidRPr="0052027A">
        <w:t>p</w:t>
      </w:r>
      <w:r w:rsidRPr="0052027A">
        <w:t>resentation</w:t>
      </w:r>
    </w:p>
    <w:tbl>
      <w:tblPr>
        <w:tblW w:w="8387" w:type="dxa"/>
        <w:jc w:val="center"/>
        <w:tblBorders>
          <w:bottom w:val="single" w:sz="4" w:space="0" w:color="auto"/>
        </w:tblBorders>
        <w:tblLook w:val="04A0" w:firstRow="1" w:lastRow="0" w:firstColumn="1" w:lastColumn="0" w:noHBand="0" w:noVBand="1"/>
      </w:tblPr>
      <w:tblGrid>
        <w:gridCol w:w="960"/>
        <w:gridCol w:w="3467"/>
        <w:gridCol w:w="2520"/>
        <w:gridCol w:w="1440"/>
      </w:tblGrid>
      <w:tr w:rsidR="00CF7900" w:rsidRPr="0052027A" w14:paraId="5C9522D0" w14:textId="77777777" w:rsidTr="00303713">
        <w:trPr>
          <w:trHeight w:val="315"/>
          <w:jc w:val="center"/>
        </w:trPr>
        <w:tc>
          <w:tcPr>
            <w:tcW w:w="960" w:type="dxa"/>
            <w:tcBorders>
              <w:top w:val="single" w:sz="4" w:space="0" w:color="auto"/>
              <w:bottom w:val="single" w:sz="4" w:space="0" w:color="auto"/>
            </w:tcBorders>
            <w:shd w:val="clear" w:color="auto" w:fill="auto"/>
            <w:noWrap/>
            <w:vAlign w:val="center"/>
            <w:hideMark/>
          </w:tcPr>
          <w:p w14:paraId="40F356C4" w14:textId="77777777" w:rsidR="00CF7900" w:rsidRPr="0052027A" w:rsidRDefault="00CF7900" w:rsidP="0052027A">
            <w:pPr>
              <w:jc w:val="both"/>
              <w:rPr>
                <w:b/>
                <w:bCs/>
                <w:color w:val="000000"/>
              </w:rPr>
            </w:pPr>
            <w:r w:rsidRPr="0052027A">
              <w:rPr>
                <w:b/>
                <w:bCs/>
                <w:color w:val="000000"/>
              </w:rPr>
              <w:lastRenderedPageBreak/>
              <w:t>Batch</w:t>
            </w:r>
          </w:p>
        </w:tc>
        <w:tc>
          <w:tcPr>
            <w:tcW w:w="3467" w:type="dxa"/>
            <w:tcBorders>
              <w:top w:val="single" w:sz="4" w:space="0" w:color="auto"/>
              <w:bottom w:val="single" w:sz="4" w:space="0" w:color="auto"/>
            </w:tcBorders>
            <w:shd w:val="clear" w:color="auto" w:fill="auto"/>
            <w:noWrap/>
            <w:vAlign w:val="center"/>
            <w:hideMark/>
          </w:tcPr>
          <w:p w14:paraId="5254874D" w14:textId="77777777" w:rsidR="00CF7900" w:rsidRPr="0052027A" w:rsidRDefault="00CF7900" w:rsidP="0052027A">
            <w:pPr>
              <w:jc w:val="both"/>
              <w:rPr>
                <w:b/>
                <w:bCs/>
                <w:color w:val="000000"/>
              </w:rPr>
            </w:pPr>
            <w:r w:rsidRPr="0052027A">
              <w:rPr>
                <w:b/>
                <w:bCs/>
                <w:color w:val="000000"/>
              </w:rPr>
              <w:t>Comparison</w:t>
            </w:r>
          </w:p>
        </w:tc>
        <w:tc>
          <w:tcPr>
            <w:tcW w:w="2520" w:type="dxa"/>
            <w:tcBorders>
              <w:top w:val="single" w:sz="4" w:space="0" w:color="auto"/>
              <w:bottom w:val="single" w:sz="4" w:space="0" w:color="auto"/>
            </w:tcBorders>
            <w:shd w:val="clear" w:color="auto" w:fill="auto"/>
            <w:noWrap/>
            <w:vAlign w:val="center"/>
            <w:hideMark/>
          </w:tcPr>
          <w:p w14:paraId="0FD7769C" w14:textId="77777777" w:rsidR="00CF7900" w:rsidRPr="0052027A" w:rsidRDefault="00CF7900" w:rsidP="0052027A">
            <w:pPr>
              <w:jc w:val="both"/>
              <w:rPr>
                <w:b/>
                <w:bCs/>
                <w:color w:val="000000"/>
              </w:rPr>
            </w:pPr>
            <w:r w:rsidRPr="0052027A">
              <w:rPr>
                <w:b/>
                <w:bCs/>
                <w:color w:val="000000"/>
              </w:rPr>
              <w:t>Mean Difference</w:t>
            </w:r>
          </w:p>
        </w:tc>
        <w:tc>
          <w:tcPr>
            <w:tcW w:w="1440" w:type="dxa"/>
            <w:tcBorders>
              <w:top w:val="single" w:sz="4" w:space="0" w:color="auto"/>
              <w:bottom w:val="single" w:sz="4" w:space="0" w:color="auto"/>
            </w:tcBorders>
            <w:shd w:val="clear" w:color="auto" w:fill="auto"/>
            <w:noWrap/>
            <w:vAlign w:val="center"/>
            <w:hideMark/>
          </w:tcPr>
          <w:p w14:paraId="57EDE5C9" w14:textId="77777777" w:rsidR="00CF7900" w:rsidRPr="0052027A" w:rsidRDefault="00CF7900" w:rsidP="0052027A">
            <w:pPr>
              <w:jc w:val="both"/>
              <w:rPr>
                <w:b/>
                <w:bCs/>
                <w:color w:val="000000"/>
              </w:rPr>
            </w:pPr>
            <w:r w:rsidRPr="0052027A">
              <w:rPr>
                <w:b/>
                <w:bCs/>
                <w:color w:val="000000"/>
              </w:rPr>
              <w:t>p Value</w:t>
            </w:r>
          </w:p>
        </w:tc>
      </w:tr>
      <w:tr w:rsidR="00CF7900" w:rsidRPr="0052027A" w14:paraId="582CB478" w14:textId="77777777" w:rsidTr="00303713">
        <w:trPr>
          <w:trHeight w:val="315"/>
          <w:jc w:val="center"/>
        </w:trPr>
        <w:tc>
          <w:tcPr>
            <w:tcW w:w="960" w:type="dxa"/>
            <w:vMerge w:val="restart"/>
            <w:tcBorders>
              <w:top w:val="single" w:sz="4" w:space="0" w:color="auto"/>
              <w:bottom w:val="nil"/>
            </w:tcBorders>
            <w:shd w:val="clear" w:color="auto" w:fill="auto"/>
            <w:noWrap/>
            <w:vAlign w:val="center"/>
            <w:hideMark/>
          </w:tcPr>
          <w:p w14:paraId="60657AC0" w14:textId="77777777" w:rsidR="00CF7900" w:rsidRPr="0052027A" w:rsidRDefault="00CF7900" w:rsidP="0052027A">
            <w:pPr>
              <w:jc w:val="both"/>
              <w:rPr>
                <w:b/>
                <w:color w:val="000000"/>
              </w:rPr>
            </w:pPr>
            <w:r w:rsidRPr="0052027A">
              <w:rPr>
                <w:b/>
                <w:color w:val="000000"/>
              </w:rPr>
              <w:t>2014</w:t>
            </w:r>
          </w:p>
        </w:tc>
        <w:tc>
          <w:tcPr>
            <w:tcW w:w="3467" w:type="dxa"/>
            <w:tcBorders>
              <w:top w:val="single" w:sz="4" w:space="0" w:color="auto"/>
              <w:bottom w:val="nil"/>
            </w:tcBorders>
            <w:shd w:val="clear" w:color="auto" w:fill="auto"/>
            <w:noWrap/>
            <w:vAlign w:val="center"/>
            <w:hideMark/>
          </w:tcPr>
          <w:p w14:paraId="3022F4E3" w14:textId="77777777" w:rsidR="00CF7900" w:rsidRPr="0052027A" w:rsidRDefault="00CF7900" w:rsidP="0052027A">
            <w:pPr>
              <w:jc w:val="both"/>
              <w:rPr>
                <w:color w:val="000000"/>
              </w:rPr>
            </w:pPr>
            <w:r w:rsidRPr="0052027A">
              <w:rPr>
                <w:color w:val="000000"/>
              </w:rPr>
              <w:t>SNMPTN-SBMPTN</w:t>
            </w:r>
          </w:p>
        </w:tc>
        <w:tc>
          <w:tcPr>
            <w:tcW w:w="2520" w:type="dxa"/>
            <w:tcBorders>
              <w:top w:val="single" w:sz="4" w:space="0" w:color="auto"/>
              <w:bottom w:val="nil"/>
            </w:tcBorders>
            <w:shd w:val="clear" w:color="auto" w:fill="auto"/>
            <w:noWrap/>
            <w:vAlign w:val="center"/>
            <w:hideMark/>
          </w:tcPr>
          <w:p w14:paraId="481979D6" w14:textId="77777777" w:rsidR="00CF7900" w:rsidRPr="0052027A" w:rsidRDefault="00CF7900" w:rsidP="0052027A">
            <w:pPr>
              <w:jc w:val="both"/>
              <w:rPr>
                <w:color w:val="000000"/>
              </w:rPr>
            </w:pPr>
            <w:r w:rsidRPr="0052027A">
              <w:rPr>
                <w:color w:val="000000"/>
              </w:rPr>
              <w:t>0.32955</w:t>
            </w:r>
          </w:p>
        </w:tc>
        <w:tc>
          <w:tcPr>
            <w:tcW w:w="1440" w:type="dxa"/>
            <w:tcBorders>
              <w:top w:val="single" w:sz="4" w:space="0" w:color="auto"/>
              <w:bottom w:val="nil"/>
            </w:tcBorders>
            <w:shd w:val="clear" w:color="auto" w:fill="auto"/>
            <w:noWrap/>
            <w:vAlign w:val="center"/>
            <w:hideMark/>
          </w:tcPr>
          <w:p w14:paraId="1463EAA0" w14:textId="77777777" w:rsidR="00CF7900" w:rsidRPr="0052027A" w:rsidRDefault="00CF7900" w:rsidP="0052027A">
            <w:pPr>
              <w:jc w:val="both"/>
              <w:rPr>
                <w:color w:val="000000"/>
              </w:rPr>
            </w:pPr>
            <w:r w:rsidRPr="0052027A">
              <w:rPr>
                <w:color w:val="000000"/>
              </w:rPr>
              <w:t>0.001</w:t>
            </w:r>
          </w:p>
        </w:tc>
      </w:tr>
      <w:tr w:rsidR="00CF7900" w:rsidRPr="0052027A" w14:paraId="26529B7F" w14:textId="77777777" w:rsidTr="00303713">
        <w:trPr>
          <w:trHeight w:val="300"/>
          <w:jc w:val="center"/>
        </w:trPr>
        <w:tc>
          <w:tcPr>
            <w:tcW w:w="960" w:type="dxa"/>
            <w:vMerge/>
            <w:tcBorders>
              <w:bottom w:val="nil"/>
            </w:tcBorders>
            <w:vAlign w:val="center"/>
            <w:hideMark/>
          </w:tcPr>
          <w:p w14:paraId="46145036" w14:textId="77777777" w:rsidR="00CF7900" w:rsidRPr="0052027A" w:rsidRDefault="00CF7900" w:rsidP="0052027A">
            <w:pPr>
              <w:jc w:val="both"/>
              <w:rPr>
                <w:b/>
                <w:color w:val="000000"/>
              </w:rPr>
            </w:pPr>
          </w:p>
        </w:tc>
        <w:tc>
          <w:tcPr>
            <w:tcW w:w="3467" w:type="dxa"/>
            <w:tcBorders>
              <w:bottom w:val="nil"/>
            </w:tcBorders>
            <w:shd w:val="clear" w:color="auto" w:fill="auto"/>
            <w:noWrap/>
            <w:vAlign w:val="center"/>
            <w:hideMark/>
          </w:tcPr>
          <w:p w14:paraId="145601AF" w14:textId="77777777" w:rsidR="00CF7900" w:rsidRPr="0052027A" w:rsidRDefault="00CF7900" w:rsidP="0052027A">
            <w:pPr>
              <w:jc w:val="both"/>
              <w:rPr>
                <w:color w:val="000000"/>
              </w:rPr>
            </w:pPr>
            <w:r w:rsidRPr="0052027A">
              <w:rPr>
                <w:color w:val="000000"/>
              </w:rPr>
              <w:t>SNMPTN-JNS</w:t>
            </w:r>
          </w:p>
        </w:tc>
        <w:tc>
          <w:tcPr>
            <w:tcW w:w="2520" w:type="dxa"/>
            <w:tcBorders>
              <w:bottom w:val="nil"/>
            </w:tcBorders>
            <w:shd w:val="clear" w:color="auto" w:fill="auto"/>
            <w:noWrap/>
            <w:vAlign w:val="center"/>
            <w:hideMark/>
          </w:tcPr>
          <w:p w14:paraId="428B56CA" w14:textId="77777777" w:rsidR="00CF7900" w:rsidRPr="0052027A" w:rsidRDefault="00CF7900" w:rsidP="0052027A">
            <w:pPr>
              <w:jc w:val="both"/>
              <w:rPr>
                <w:color w:val="000000"/>
              </w:rPr>
            </w:pPr>
            <w:r w:rsidRPr="0052027A">
              <w:rPr>
                <w:color w:val="000000"/>
              </w:rPr>
              <w:t>0.72951</w:t>
            </w:r>
          </w:p>
        </w:tc>
        <w:tc>
          <w:tcPr>
            <w:tcW w:w="1440" w:type="dxa"/>
            <w:tcBorders>
              <w:bottom w:val="nil"/>
            </w:tcBorders>
            <w:shd w:val="clear" w:color="auto" w:fill="auto"/>
            <w:noWrap/>
            <w:vAlign w:val="center"/>
            <w:hideMark/>
          </w:tcPr>
          <w:p w14:paraId="768D5068" w14:textId="77777777" w:rsidR="00CF7900" w:rsidRPr="0052027A" w:rsidRDefault="00CF7900" w:rsidP="0052027A">
            <w:pPr>
              <w:jc w:val="both"/>
              <w:rPr>
                <w:color w:val="000000"/>
              </w:rPr>
            </w:pPr>
            <w:r w:rsidRPr="0052027A">
              <w:rPr>
                <w:color w:val="000000"/>
              </w:rPr>
              <w:t>&lt;0.001</w:t>
            </w:r>
          </w:p>
        </w:tc>
      </w:tr>
      <w:tr w:rsidR="00CF7900" w:rsidRPr="0052027A" w14:paraId="45C0EFC5" w14:textId="77777777" w:rsidTr="00303713">
        <w:trPr>
          <w:trHeight w:val="300"/>
          <w:jc w:val="center"/>
        </w:trPr>
        <w:tc>
          <w:tcPr>
            <w:tcW w:w="960" w:type="dxa"/>
            <w:vMerge/>
            <w:tcBorders>
              <w:bottom w:val="single" w:sz="4" w:space="0" w:color="auto"/>
            </w:tcBorders>
            <w:vAlign w:val="center"/>
            <w:hideMark/>
          </w:tcPr>
          <w:p w14:paraId="4A241866" w14:textId="77777777" w:rsidR="00CF7900" w:rsidRPr="0052027A" w:rsidRDefault="00CF7900" w:rsidP="0052027A">
            <w:pPr>
              <w:jc w:val="both"/>
              <w:rPr>
                <w:b/>
                <w:color w:val="000000"/>
              </w:rPr>
            </w:pPr>
          </w:p>
        </w:tc>
        <w:tc>
          <w:tcPr>
            <w:tcW w:w="3467" w:type="dxa"/>
            <w:tcBorders>
              <w:bottom w:val="single" w:sz="4" w:space="0" w:color="auto"/>
            </w:tcBorders>
            <w:shd w:val="clear" w:color="auto" w:fill="auto"/>
            <w:noWrap/>
            <w:vAlign w:val="center"/>
            <w:hideMark/>
          </w:tcPr>
          <w:p w14:paraId="65C8E2E9" w14:textId="77777777" w:rsidR="00CF7900" w:rsidRPr="0052027A" w:rsidRDefault="00CF7900" w:rsidP="0052027A">
            <w:pPr>
              <w:jc w:val="both"/>
              <w:rPr>
                <w:color w:val="000000"/>
              </w:rPr>
            </w:pPr>
            <w:r w:rsidRPr="0052027A">
              <w:rPr>
                <w:color w:val="000000"/>
              </w:rPr>
              <w:t>SNMPTN-International</w:t>
            </w:r>
          </w:p>
        </w:tc>
        <w:tc>
          <w:tcPr>
            <w:tcW w:w="2520" w:type="dxa"/>
            <w:tcBorders>
              <w:bottom w:val="single" w:sz="4" w:space="0" w:color="auto"/>
            </w:tcBorders>
            <w:shd w:val="clear" w:color="auto" w:fill="auto"/>
            <w:noWrap/>
            <w:vAlign w:val="center"/>
            <w:hideMark/>
          </w:tcPr>
          <w:p w14:paraId="66B5E706" w14:textId="77777777" w:rsidR="00CF7900" w:rsidRPr="0052027A" w:rsidRDefault="00CF7900" w:rsidP="0052027A">
            <w:pPr>
              <w:jc w:val="both"/>
              <w:rPr>
                <w:color w:val="000000"/>
              </w:rPr>
            </w:pPr>
            <w:r w:rsidRPr="0052027A">
              <w:rPr>
                <w:color w:val="000000"/>
              </w:rPr>
              <w:t>-0.06713</w:t>
            </w:r>
          </w:p>
        </w:tc>
        <w:tc>
          <w:tcPr>
            <w:tcW w:w="1440" w:type="dxa"/>
            <w:tcBorders>
              <w:bottom w:val="single" w:sz="4" w:space="0" w:color="auto"/>
            </w:tcBorders>
            <w:shd w:val="clear" w:color="auto" w:fill="auto"/>
            <w:noWrap/>
            <w:vAlign w:val="center"/>
            <w:hideMark/>
          </w:tcPr>
          <w:p w14:paraId="6B6CBDF9" w14:textId="77777777" w:rsidR="00CF7900" w:rsidRPr="0052027A" w:rsidRDefault="00CF7900" w:rsidP="0052027A">
            <w:pPr>
              <w:jc w:val="both"/>
              <w:rPr>
                <w:color w:val="000000"/>
              </w:rPr>
            </w:pPr>
            <w:r w:rsidRPr="0052027A">
              <w:rPr>
                <w:color w:val="000000"/>
              </w:rPr>
              <w:t>1.000</w:t>
            </w:r>
          </w:p>
        </w:tc>
      </w:tr>
      <w:tr w:rsidR="00CF7900" w:rsidRPr="0052027A" w14:paraId="741F8A2D" w14:textId="77777777" w:rsidTr="00303713">
        <w:trPr>
          <w:trHeight w:val="300"/>
          <w:jc w:val="center"/>
        </w:trPr>
        <w:tc>
          <w:tcPr>
            <w:tcW w:w="960" w:type="dxa"/>
            <w:vMerge w:val="restart"/>
            <w:tcBorders>
              <w:top w:val="single" w:sz="4" w:space="0" w:color="auto"/>
              <w:bottom w:val="nil"/>
            </w:tcBorders>
            <w:shd w:val="clear" w:color="auto" w:fill="auto"/>
            <w:noWrap/>
            <w:vAlign w:val="center"/>
            <w:hideMark/>
          </w:tcPr>
          <w:p w14:paraId="15BB2B37" w14:textId="77777777" w:rsidR="00CF7900" w:rsidRPr="0052027A" w:rsidRDefault="00CF7900" w:rsidP="0052027A">
            <w:pPr>
              <w:jc w:val="both"/>
              <w:rPr>
                <w:b/>
                <w:color w:val="000000"/>
              </w:rPr>
            </w:pPr>
            <w:r w:rsidRPr="0052027A">
              <w:rPr>
                <w:b/>
                <w:color w:val="000000"/>
              </w:rPr>
              <w:t>2015</w:t>
            </w:r>
          </w:p>
        </w:tc>
        <w:tc>
          <w:tcPr>
            <w:tcW w:w="3467" w:type="dxa"/>
            <w:tcBorders>
              <w:top w:val="single" w:sz="4" w:space="0" w:color="auto"/>
              <w:bottom w:val="nil"/>
            </w:tcBorders>
            <w:shd w:val="clear" w:color="auto" w:fill="auto"/>
            <w:noWrap/>
            <w:vAlign w:val="center"/>
            <w:hideMark/>
          </w:tcPr>
          <w:p w14:paraId="48759DDE" w14:textId="77777777" w:rsidR="00CF7900" w:rsidRPr="0052027A" w:rsidRDefault="00CF7900" w:rsidP="0052027A">
            <w:pPr>
              <w:jc w:val="both"/>
              <w:rPr>
                <w:color w:val="000000"/>
              </w:rPr>
            </w:pPr>
            <w:r w:rsidRPr="0052027A">
              <w:rPr>
                <w:color w:val="000000"/>
              </w:rPr>
              <w:t>SNMPTN-SBMPTN</w:t>
            </w:r>
          </w:p>
        </w:tc>
        <w:tc>
          <w:tcPr>
            <w:tcW w:w="2520" w:type="dxa"/>
            <w:tcBorders>
              <w:top w:val="single" w:sz="4" w:space="0" w:color="auto"/>
              <w:bottom w:val="nil"/>
            </w:tcBorders>
            <w:shd w:val="clear" w:color="auto" w:fill="auto"/>
            <w:noWrap/>
            <w:vAlign w:val="center"/>
            <w:hideMark/>
          </w:tcPr>
          <w:p w14:paraId="63363306" w14:textId="43B6BCA0" w:rsidR="00CF7900" w:rsidRPr="0052027A" w:rsidRDefault="00E360E4" w:rsidP="0052027A">
            <w:pPr>
              <w:jc w:val="both"/>
              <w:rPr>
                <w:color w:val="000000"/>
              </w:rPr>
            </w:pPr>
            <w:r>
              <w:rPr>
                <w:color w:val="000000"/>
              </w:rPr>
              <w:t>0</w:t>
            </w:r>
            <w:r w:rsidR="00CF7900" w:rsidRPr="0052027A">
              <w:rPr>
                <w:color w:val="000000"/>
              </w:rPr>
              <w:t>.67841</w:t>
            </w:r>
          </w:p>
        </w:tc>
        <w:tc>
          <w:tcPr>
            <w:tcW w:w="1440" w:type="dxa"/>
            <w:tcBorders>
              <w:top w:val="single" w:sz="4" w:space="0" w:color="auto"/>
              <w:bottom w:val="nil"/>
            </w:tcBorders>
            <w:shd w:val="clear" w:color="auto" w:fill="auto"/>
            <w:noWrap/>
            <w:vAlign w:val="center"/>
            <w:hideMark/>
          </w:tcPr>
          <w:p w14:paraId="3150642B" w14:textId="77777777" w:rsidR="00CF7900" w:rsidRPr="0052027A" w:rsidRDefault="00CF7900" w:rsidP="0052027A">
            <w:pPr>
              <w:jc w:val="both"/>
              <w:rPr>
                <w:color w:val="000000"/>
              </w:rPr>
            </w:pPr>
            <w:r w:rsidRPr="0052027A">
              <w:rPr>
                <w:color w:val="000000"/>
              </w:rPr>
              <w:t>&lt;0.001</w:t>
            </w:r>
          </w:p>
        </w:tc>
      </w:tr>
      <w:tr w:rsidR="00CF7900" w:rsidRPr="0052027A" w14:paraId="135E0E1E" w14:textId="77777777" w:rsidTr="00303713">
        <w:trPr>
          <w:trHeight w:val="300"/>
          <w:jc w:val="center"/>
        </w:trPr>
        <w:tc>
          <w:tcPr>
            <w:tcW w:w="960" w:type="dxa"/>
            <w:vMerge/>
            <w:tcBorders>
              <w:bottom w:val="nil"/>
            </w:tcBorders>
            <w:vAlign w:val="center"/>
            <w:hideMark/>
          </w:tcPr>
          <w:p w14:paraId="7904E844" w14:textId="77777777" w:rsidR="00CF7900" w:rsidRPr="0052027A" w:rsidRDefault="00CF7900" w:rsidP="0052027A">
            <w:pPr>
              <w:jc w:val="both"/>
              <w:rPr>
                <w:b/>
                <w:color w:val="000000"/>
              </w:rPr>
            </w:pPr>
          </w:p>
        </w:tc>
        <w:tc>
          <w:tcPr>
            <w:tcW w:w="3467" w:type="dxa"/>
            <w:tcBorders>
              <w:bottom w:val="nil"/>
            </w:tcBorders>
            <w:shd w:val="clear" w:color="auto" w:fill="auto"/>
            <w:noWrap/>
            <w:vAlign w:val="center"/>
            <w:hideMark/>
          </w:tcPr>
          <w:p w14:paraId="4C4F65B9" w14:textId="77777777" w:rsidR="00CF7900" w:rsidRPr="0052027A" w:rsidRDefault="00CF7900" w:rsidP="0052027A">
            <w:pPr>
              <w:jc w:val="both"/>
              <w:rPr>
                <w:color w:val="000000"/>
              </w:rPr>
            </w:pPr>
            <w:r w:rsidRPr="0052027A">
              <w:rPr>
                <w:color w:val="000000"/>
              </w:rPr>
              <w:t>SNMPTN-JNS</w:t>
            </w:r>
          </w:p>
        </w:tc>
        <w:tc>
          <w:tcPr>
            <w:tcW w:w="2520" w:type="dxa"/>
            <w:tcBorders>
              <w:bottom w:val="nil"/>
            </w:tcBorders>
            <w:shd w:val="clear" w:color="auto" w:fill="auto"/>
            <w:noWrap/>
            <w:vAlign w:val="center"/>
            <w:hideMark/>
          </w:tcPr>
          <w:p w14:paraId="1CFE4F23" w14:textId="546F24AF" w:rsidR="00CF7900" w:rsidRPr="0052027A" w:rsidRDefault="00E360E4" w:rsidP="0052027A">
            <w:pPr>
              <w:jc w:val="both"/>
              <w:rPr>
                <w:color w:val="000000"/>
              </w:rPr>
            </w:pPr>
            <w:r>
              <w:rPr>
                <w:color w:val="000000"/>
              </w:rPr>
              <w:t>0</w:t>
            </w:r>
            <w:r w:rsidR="00CF7900" w:rsidRPr="0052027A">
              <w:rPr>
                <w:color w:val="000000"/>
              </w:rPr>
              <w:t>.39204</w:t>
            </w:r>
          </w:p>
        </w:tc>
        <w:tc>
          <w:tcPr>
            <w:tcW w:w="1440" w:type="dxa"/>
            <w:tcBorders>
              <w:bottom w:val="nil"/>
            </w:tcBorders>
            <w:shd w:val="clear" w:color="auto" w:fill="auto"/>
            <w:noWrap/>
            <w:vAlign w:val="center"/>
            <w:hideMark/>
          </w:tcPr>
          <w:p w14:paraId="632EBEE4" w14:textId="77777777" w:rsidR="00CF7900" w:rsidRPr="0052027A" w:rsidRDefault="00CF7900" w:rsidP="0052027A">
            <w:pPr>
              <w:jc w:val="both"/>
              <w:rPr>
                <w:color w:val="000000"/>
              </w:rPr>
            </w:pPr>
            <w:r w:rsidRPr="0052027A">
              <w:rPr>
                <w:color w:val="000000"/>
              </w:rPr>
              <w:t>0.032</w:t>
            </w:r>
          </w:p>
        </w:tc>
      </w:tr>
      <w:tr w:rsidR="00CF7900" w:rsidRPr="0052027A" w14:paraId="08DB6F03" w14:textId="77777777" w:rsidTr="00303713">
        <w:trPr>
          <w:trHeight w:val="300"/>
          <w:jc w:val="center"/>
        </w:trPr>
        <w:tc>
          <w:tcPr>
            <w:tcW w:w="960" w:type="dxa"/>
            <w:vMerge/>
            <w:tcBorders>
              <w:bottom w:val="single" w:sz="4" w:space="0" w:color="auto"/>
            </w:tcBorders>
            <w:vAlign w:val="center"/>
            <w:hideMark/>
          </w:tcPr>
          <w:p w14:paraId="1A504DD9" w14:textId="77777777" w:rsidR="00CF7900" w:rsidRPr="0052027A" w:rsidRDefault="00CF7900" w:rsidP="0052027A">
            <w:pPr>
              <w:jc w:val="both"/>
              <w:rPr>
                <w:b/>
                <w:color w:val="000000"/>
              </w:rPr>
            </w:pPr>
          </w:p>
        </w:tc>
        <w:tc>
          <w:tcPr>
            <w:tcW w:w="3467" w:type="dxa"/>
            <w:tcBorders>
              <w:bottom w:val="single" w:sz="4" w:space="0" w:color="auto"/>
            </w:tcBorders>
            <w:shd w:val="clear" w:color="auto" w:fill="auto"/>
            <w:noWrap/>
            <w:vAlign w:val="center"/>
            <w:hideMark/>
          </w:tcPr>
          <w:p w14:paraId="15C7331C" w14:textId="77777777" w:rsidR="00CF7900" w:rsidRPr="0052027A" w:rsidRDefault="00CF7900" w:rsidP="0052027A">
            <w:pPr>
              <w:jc w:val="both"/>
              <w:rPr>
                <w:color w:val="000000"/>
              </w:rPr>
            </w:pPr>
            <w:r w:rsidRPr="0052027A">
              <w:rPr>
                <w:color w:val="000000"/>
              </w:rPr>
              <w:t>SNMPTN-International</w:t>
            </w:r>
          </w:p>
        </w:tc>
        <w:tc>
          <w:tcPr>
            <w:tcW w:w="2520" w:type="dxa"/>
            <w:tcBorders>
              <w:bottom w:val="single" w:sz="4" w:space="0" w:color="auto"/>
            </w:tcBorders>
            <w:shd w:val="clear" w:color="auto" w:fill="auto"/>
            <w:noWrap/>
            <w:vAlign w:val="center"/>
            <w:hideMark/>
          </w:tcPr>
          <w:p w14:paraId="16007245" w14:textId="46DF3041" w:rsidR="00CF7900" w:rsidRPr="0052027A" w:rsidRDefault="00CF7900" w:rsidP="0052027A">
            <w:pPr>
              <w:jc w:val="both"/>
              <w:rPr>
                <w:color w:val="000000"/>
              </w:rPr>
            </w:pPr>
            <w:r w:rsidRPr="0052027A">
              <w:rPr>
                <w:color w:val="000000"/>
              </w:rPr>
              <w:t>-</w:t>
            </w:r>
            <w:r w:rsidR="00E360E4">
              <w:rPr>
                <w:color w:val="000000"/>
              </w:rPr>
              <w:t>0</w:t>
            </w:r>
            <w:r w:rsidRPr="0052027A">
              <w:rPr>
                <w:color w:val="000000"/>
              </w:rPr>
              <w:t>.15974</w:t>
            </w:r>
          </w:p>
        </w:tc>
        <w:tc>
          <w:tcPr>
            <w:tcW w:w="1440" w:type="dxa"/>
            <w:tcBorders>
              <w:bottom w:val="single" w:sz="4" w:space="0" w:color="auto"/>
            </w:tcBorders>
            <w:shd w:val="clear" w:color="auto" w:fill="auto"/>
            <w:noWrap/>
            <w:vAlign w:val="center"/>
            <w:hideMark/>
          </w:tcPr>
          <w:p w14:paraId="2A2C8447" w14:textId="77777777" w:rsidR="00CF7900" w:rsidRPr="0052027A" w:rsidRDefault="00CF7900" w:rsidP="0052027A">
            <w:pPr>
              <w:jc w:val="both"/>
              <w:rPr>
                <w:color w:val="000000"/>
              </w:rPr>
            </w:pPr>
            <w:r w:rsidRPr="0052027A">
              <w:rPr>
                <w:color w:val="000000"/>
              </w:rPr>
              <w:t>1.000</w:t>
            </w:r>
          </w:p>
        </w:tc>
      </w:tr>
      <w:tr w:rsidR="00CF7900" w:rsidRPr="0052027A" w14:paraId="3017FA42" w14:textId="77777777" w:rsidTr="00303713">
        <w:trPr>
          <w:trHeight w:val="300"/>
          <w:jc w:val="center"/>
        </w:trPr>
        <w:tc>
          <w:tcPr>
            <w:tcW w:w="960" w:type="dxa"/>
            <w:vMerge w:val="restart"/>
            <w:tcBorders>
              <w:top w:val="single" w:sz="4" w:space="0" w:color="auto"/>
            </w:tcBorders>
            <w:shd w:val="clear" w:color="auto" w:fill="auto"/>
            <w:noWrap/>
            <w:vAlign w:val="center"/>
            <w:hideMark/>
          </w:tcPr>
          <w:p w14:paraId="653E8A0C" w14:textId="77777777" w:rsidR="00CF7900" w:rsidRPr="0052027A" w:rsidRDefault="00CF7900" w:rsidP="0052027A">
            <w:pPr>
              <w:jc w:val="both"/>
              <w:rPr>
                <w:b/>
                <w:color w:val="000000"/>
              </w:rPr>
            </w:pPr>
            <w:r w:rsidRPr="0052027A">
              <w:rPr>
                <w:b/>
                <w:color w:val="000000"/>
              </w:rPr>
              <w:t>2016</w:t>
            </w:r>
          </w:p>
        </w:tc>
        <w:tc>
          <w:tcPr>
            <w:tcW w:w="3467" w:type="dxa"/>
            <w:tcBorders>
              <w:top w:val="single" w:sz="4" w:space="0" w:color="auto"/>
            </w:tcBorders>
            <w:shd w:val="clear" w:color="auto" w:fill="auto"/>
            <w:noWrap/>
            <w:vAlign w:val="center"/>
            <w:hideMark/>
          </w:tcPr>
          <w:p w14:paraId="2B42E4E6" w14:textId="77777777" w:rsidR="00CF7900" w:rsidRPr="0052027A" w:rsidRDefault="00CF7900" w:rsidP="0052027A">
            <w:pPr>
              <w:jc w:val="both"/>
              <w:rPr>
                <w:color w:val="000000"/>
              </w:rPr>
            </w:pPr>
            <w:r w:rsidRPr="0052027A">
              <w:rPr>
                <w:color w:val="000000"/>
              </w:rPr>
              <w:t>SNMPTN-SBMPTN</w:t>
            </w:r>
          </w:p>
        </w:tc>
        <w:tc>
          <w:tcPr>
            <w:tcW w:w="2520" w:type="dxa"/>
            <w:tcBorders>
              <w:top w:val="single" w:sz="4" w:space="0" w:color="auto"/>
            </w:tcBorders>
            <w:shd w:val="clear" w:color="auto" w:fill="auto"/>
            <w:noWrap/>
            <w:vAlign w:val="center"/>
            <w:hideMark/>
          </w:tcPr>
          <w:p w14:paraId="40540CAB" w14:textId="77777777" w:rsidR="00CF7900" w:rsidRPr="0052027A" w:rsidRDefault="00CF7900" w:rsidP="0052027A">
            <w:pPr>
              <w:jc w:val="both"/>
              <w:rPr>
                <w:color w:val="000000"/>
              </w:rPr>
            </w:pPr>
            <w:r w:rsidRPr="0052027A">
              <w:rPr>
                <w:color w:val="000000"/>
              </w:rPr>
              <w:t>1.41199</w:t>
            </w:r>
          </w:p>
        </w:tc>
        <w:tc>
          <w:tcPr>
            <w:tcW w:w="1440" w:type="dxa"/>
            <w:tcBorders>
              <w:top w:val="single" w:sz="4" w:space="0" w:color="auto"/>
            </w:tcBorders>
            <w:shd w:val="clear" w:color="auto" w:fill="auto"/>
            <w:noWrap/>
            <w:vAlign w:val="center"/>
            <w:hideMark/>
          </w:tcPr>
          <w:p w14:paraId="7376D00A" w14:textId="77777777" w:rsidR="00CF7900" w:rsidRPr="0052027A" w:rsidRDefault="00CF7900" w:rsidP="0052027A">
            <w:pPr>
              <w:jc w:val="both"/>
              <w:rPr>
                <w:color w:val="000000"/>
              </w:rPr>
            </w:pPr>
            <w:r w:rsidRPr="0052027A">
              <w:rPr>
                <w:color w:val="000000"/>
              </w:rPr>
              <w:t>&lt;0.001</w:t>
            </w:r>
          </w:p>
        </w:tc>
      </w:tr>
      <w:tr w:rsidR="00CF7900" w:rsidRPr="0052027A" w14:paraId="3C4D5870" w14:textId="77777777" w:rsidTr="00303713">
        <w:trPr>
          <w:trHeight w:val="300"/>
          <w:jc w:val="center"/>
        </w:trPr>
        <w:tc>
          <w:tcPr>
            <w:tcW w:w="960" w:type="dxa"/>
            <w:vMerge/>
            <w:vAlign w:val="center"/>
            <w:hideMark/>
          </w:tcPr>
          <w:p w14:paraId="22E87BBD" w14:textId="77777777" w:rsidR="00CF7900" w:rsidRPr="0052027A" w:rsidRDefault="00CF7900" w:rsidP="0052027A">
            <w:pPr>
              <w:jc w:val="both"/>
              <w:rPr>
                <w:color w:val="000000"/>
              </w:rPr>
            </w:pPr>
          </w:p>
        </w:tc>
        <w:tc>
          <w:tcPr>
            <w:tcW w:w="3467" w:type="dxa"/>
            <w:shd w:val="clear" w:color="auto" w:fill="auto"/>
            <w:noWrap/>
            <w:vAlign w:val="center"/>
            <w:hideMark/>
          </w:tcPr>
          <w:p w14:paraId="4BDFB942" w14:textId="77777777" w:rsidR="00CF7900" w:rsidRPr="0052027A" w:rsidRDefault="00CF7900" w:rsidP="0052027A">
            <w:pPr>
              <w:jc w:val="both"/>
              <w:rPr>
                <w:color w:val="000000"/>
              </w:rPr>
            </w:pPr>
            <w:r w:rsidRPr="0052027A">
              <w:rPr>
                <w:color w:val="000000"/>
              </w:rPr>
              <w:t>SNMPTN-JNS</w:t>
            </w:r>
          </w:p>
        </w:tc>
        <w:tc>
          <w:tcPr>
            <w:tcW w:w="2520" w:type="dxa"/>
            <w:shd w:val="clear" w:color="auto" w:fill="auto"/>
            <w:noWrap/>
            <w:vAlign w:val="center"/>
            <w:hideMark/>
          </w:tcPr>
          <w:p w14:paraId="60D2EA46" w14:textId="7B4B0FEA" w:rsidR="00CF7900" w:rsidRPr="0052027A" w:rsidRDefault="00E360E4" w:rsidP="0052027A">
            <w:pPr>
              <w:jc w:val="both"/>
              <w:rPr>
                <w:color w:val="000000"/>
              </w:rPr>
            </w:pPr>
            <w:r>
              <w:rPr>
                <w:color w:val="000000"/>
              </w:rPr>
              <w:t>0</w:t>
            </w:r>
            <w:r w:rsidR="00CF7900" w:rsidRPr="0052027A">
              <w:rPr>
                <w:color w:val="000000"/>
              </w:rPr>
              <w:t>.87287</w:t>
            </w:r>
          </w:p>
        </w:tc>
        <w:tc>
          <w:tcPr>
            <w:tcW w:w="1440" w:type="dxa"/>
            <w:shd w:val="clear" w:color="auto" w:fill="auto"/>
            <w:noWrap/>
            <w:vAlign w:val="center"/>
            <w:hideMark/>
          </w:tcPr>
          <w:p w14:paraId="16725C58" w14:textId="77777777" w:rsidR="00CF7900" w:rsidRPr="0052027A" w:rsidRDefault="00CF7900" w:rsidP="0052027A">
            <w:pPr>
              <w:jc w:val="both"/>
              <w:rPr>
                <w:color w:val="000000"/>
              </w:rPr>
            </w:pPr>
            <w:r w:rsidRPr="0052027A">
              <w:rPr>
                <w:color w:val="000000"/>
              </w:rPr>
              <w:t>&lt;.001</w:t>
            </w:r>
          </w:p>
        </w:tc>
      </w:tr>
      <w:tr w:rsidR="00CF7900" w:rsidRPr="0052027A" w14:paraId="46FAE014" w14:textId="77777777" w:rsidTr="00303713">
        <w:trPr>
          <w:trHeight w:val="300"/>
          <w:jc w:val="center"/>
        </w:trPr>
        <w:tc>
          <w:tcPr>
            <w:tcW w:w="960" w:type="dxa"/>
            <w:vMerge/>
            <w:vAlign w:val="center"/>
            <w:hideMark/>
          </w:tcPr>
          <w:p w14:paraId="7E468A90" w14:textId="77777777" w:rsidR="00CF7900" w:rsidRPr="0052027A" w:rsidRDefault="00CF7900" w:rsidP="0052027A">
            <w:pPr>
              <w:jc w:val="both"/>
              <w:rPr>
                <w:color w:val="000000"/>
              </w:rPr>
            </w:pPr>
          </w:p>
        </w:tc>
        <w:tc>
          <w:tcPr>
            <w:tcW w:w="3467" w:type="dxa"/>
            <w:shd w:val="clear" w:color="auto" w:fill="auto"/>
            <w:noWrap/>
            <w:vAlign w:val="center"/>
            <w:hideMark/>
          </w:tcPr>
          <w:p w14:paraId="733EBA42" w14:textId="77777777" w:rsidR="00CF7900" w:rsidRPr="0052027A" w:rsidRDefault="00CF7900" w:rsidP="0052027A">
            <w:pPr>
              <w:jc w:val="both"/>
              <w:rPr>
                <w:color w:val="000000"/>
              </w:rPr>
            </w:pPr>
            <w:r w:rsidRPr="0052027A">
              <w:rPr>
                <w:color w:val="000000"/>
              </w:rPr>
              <w:t>SNMPTN-International</w:t>
            </w:r>
          </w:p>
        </w:tc>
        <w:tc>
          <w:tcPr>
            <w:tcW w:w="2520" w:type="dxa"/>
            <w:shd w:val="clear" w:color="auto" w:fill="auto"/>
            <w:noWrap/>
            <w:vAlign w:val="center"/>
            <w:hideMark/>
          </w:tcPr>
          <w:p w14:paraId="487C713C" w14:textId="09AE9034" w:rsidR="00CF7900" w:rsidRPr="0052027A" w:rsidRDefault="00E360E4" w:rsidP="0052027A">
            <w:pPr>
              <w:jc w:val="both"/>
              <w:rPr>
                <w:color w:val="000000"/>
              </w:rPr>
            </w:pPr>
            <w:r>
              <w:rPr>
                <w:color w:val="000000"/>
              </w:rPr>
              <w:t>0</w:t>
            </w:r>
            <w:r w:rsidR="00CF7900" w:rsidRPr="0052027A">
              <w:rPr>
                <w:color w:val="000000"/>
              </w:rPr>
              <w:t>.57819</w:t>
            </w:r>
          </w:p>
        </w:tc>
        <w:tc>
          <w:tcPr>
            <w:tcW w:w="1440" w:type="dxa"/>
            <w:shd w:val="clear" w:color="auto" w:fill="auto"/>
            <w:noWrap/>
            <w:vAlign w:val="center"/>
            <w:hideMark/>
          </w:tcPr>
          <w:p w14:paraId="6910DCFE" w14:textId="77777777" w:rsidR="00CF7900" w:rsidRPr="0052027A" w:rsidRDefault="00CF7900" w:rsidP="0052027A">
            <w:pPr>
              <w:jc w:val="both"/>
              <w:rPr>
                <w:color w:val="000000"/>
              </w:rPr>
            </w:pPr>
            <w:r w:rsidRPr="0052027A">
              <w:rPr>
                <w:color w:val="000000"/>
              </w:rPr>
              <w:t>0.007</w:t>
            </w:r>
          </w:p>
        </w:tc>
      </w:tr>
    </w:tbl>
    <w:p w14:paraId="21733702" w14:textId="77777777" w:rsidR="00F56CC8" w:rsidRPr="0052027A" w:rsidRDefault="00CF7900" w:rsidP="0052027A">
      <w:pPr>
        <w:jc w:val="center"/>
        <w:rPr>
          <w:i/>
          <w:color w:val="FF0000"/>
        </w:rPr>
      </w:pPr>
      <w:r w:rsidRPr="0052027A">
        <w:rPr>
          <w:i/>
          <w:color w:val="FF0000"/>
        </w:rPr>
        <w:t>use only horizontal lines</w:t>
      </w:r>
    </w:p>
    <w:p w14:paraId="5C12161A" w14:textId="77777777" w:rsidR="00F56CC8" w:rsidRPr="0052027A" w:rsidRDefault="00F56CC8" w:rsidP="0052027A">
      <w:pPr>
        <w:jc w:val="both"/>
      </w:pPr>
    </w:p>
    <w:p w14:paraId="3CE6BD23" w14:textId="77777777" w:rsidR="00CF7900" w:rsidRPr="0052027A" w:rsidRDefault="00CF7900" w:rsidP="0052027A">
      <w:pPr>
        <w:jc w:val="both"/>
      </w:pPr>
    </w:p>
    <w:p w14:paraId="7AF2AB72" w14:textId="77777777" w:rsidR="00CF7900" w:rsidRPr="0052027A" w:rsidRDefault="00CF7900" w:rsidP="0052027A">
      <w:pPr>
        <w:jc w:val="center"/>
      </w:pPr>
      <w:r w:rsidRPr="0052027A">
        <w:rPr>
          <w:noProof/>
          <w:lang w:eastAsia="id-ID"/>
        </w:rPr>
        <w:drawing>
          <wp:inline distT="0" distB="0" distL="0" distR="0" wp14:anchorId="401B9384" wp14:editId="7CF6F78E">
            <wp:extent cx="3905955" cy="188524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5285" cy="1889747"/>
                    </a:xfrm>
                    <a:prstGeom prst="rect">
                      <a:avLst/>
                    </a:prstGeom>
                    <a:noFill/>
                    <a:ln>
                      <a:noFill/>
                    </a:ln>
                  </pic:spPr>
                </pic:pic>
              </a:graphicData>
            </a:graphic>
          </wp:inline>
        </w:drawing>
      </w:r>
    </w:p>
    <w:p w14:paraId="4AA83C69" w14:textId="77777777" w:rsidR="00F56CC8" w:rsidRPr="0052027A" w:rsidRDefault="00F56CC8" w:rsidP="0052027A">
      <w:pPr>
        <w:jc w:val="center"/>
      </w:pPr>
      <w:r w:rsidRPr="0052027A">
        <w:t xml:space="preserve">Figure 1. Example of </w:t>
      </w:r>
      <w:r w:rsidR="00CF7900" w:rsidRPr="0052027A">
        <w:t>f</w:t>
      </w:r>
      <w:r w:rsidRPr="0052027A">
        <w:t>igure</w:t>
      </w:r>
      <w:r w:rsidR="00CF7900" w:rsidRPr="0052027A">
        <w:t>/chart/flowchart</w:t>
      </w:r>
      <w:r w:rsidRPr="0052027A">
        <w:t xml:space="preserve"> </w:t>
      </w:r>
      <w:r w:rsidR="00CF7900" w:rsidRPr="0052027A">
        <w:t>p</w:t>
      </w:r>
      <w:r w:rsidRPr="0052027A">
        <w:t>resentation</w:t>
      </w:r>
    </w:p>
    <w:p w14:paraId="332255B2" w14:textId="77777777" w:rsidR="00F56CC8" w:rsidRPr="0052027A" w:rsidRDefault="00F56CC8" w:rsidP="0052027A">
      <w:pPr>
        <w:jc w:val="both"/>
      </w:pPr>
    </w:p>
    <w:p w14:paraId="473E676E" w14:textId="77777777" w:rsidR="00F56CC8" w:rsidRPr="0052027A" w:rsidRDefault="00F56CC8" w:rsidP="0052027A">
      <w:pPr>
        <w:jc w:val="both"/>
      </w:pPr>
    </w:p>
    <w:p w14:paraId="4012B1AA" w14:textId="77777777" w:rsidR="00F56CC8" w:rsidRPr="0052027A" w:rsidRDefault="00F56CC8" w:rsidP="0052027A">
      <w:pPr>
        <w:jc w:val="both"/>
      </w:pPr>
      <w:r w:rsidRPr="0052027A">
        <w:t>This is an example of adding an interview or focus group discussion transcript into the manuscript in qualitative research:</w:t>
      </w:r>
    </w:p>
    <w:p w14:paraId="2836A445" w14:textId="77777777" w:rsidR="00F56CC8" w:rsidRPr="0052027A" w:rsidRDefault="00F56CC8" w:rsidP="0052027A">
      <w:pPr>
        <w:jc w:val="both"/>
      </w:pPr>
    </w:p>
    <w:p w14:paraId="5348B8EB" w14:textId="77777777" w:rsidR="00F56CC8" w:rsidRPr="0052027A" w:rsidRDefault="00CF7900" w:rsidP="0052027A">
      <w:pPr>
        <w:ind w:left="567"/>
        <w:jc w:val="both"/>
      </w:pPr>
      <w:r w:rsidRPr="0052027A">
        <w:rPr>
          <w:i/>
        </w:rPr>
        <w:t>“This is an example of adding an interview or focus group discussion transcript into the manuscript in qualitative research. Please mind that it should be arranged this way to ensure that the transcript is not misunderstood as an argument”</w:t>
      </w:r>
      <w:r w:rsidRPr="0052027A">
        <w:t xml:space="preserve"> (Code)</w:t>
      </w:r>
    </w:p>
    <w:p w14:paraId="27EADEA6" w14:textId="77777777" w:rsidR="00F56CC8" w:rsidRPr="0052027A" w:rsidRDefault="00F56CC8" w:rsidP="0052027A">
      <w:pPr>
        <w:jc w:val="both"/>
      </w:pPr>
    </w:p>
    <w:p w14:paraId="786C4085" w14:textId="77777777" w:rsidR="00F56CC8" w:rsidRPr="0052027A" w:rsidRDefault="00F56CC8" w:rsidP="0052027A">
      <w:pPr>
        <w:jc w:val="both"/>
      </w:pPr>
      <w:r w:rsidRPr="0052027A">
        <w:t xml:space="preserve">The transcript should be written as an indented </w:t>
      </w:r>
      <w:r w:rsidR="00CF7900" w:rsidRPr="0052027A">
        <w:t>paragraph, italic may be coded.</w:t>
      </w:r>
    </w:p>
    <w:p w14:paraId="6BF433B0" w14:textId="3BD63F4D" w:rsidR="00CF7900" w:rsidRPr="0052027A" w:rsidRDefault="00CF7900" w:rsidP="0052027A">
      <w:pPr>
        <w:jc w:val="both"/>
      </w:pPr>
    </w:p>
    <w:p w14:paraId="2547379A" w14:textId="77777777" w:rsidR="007E6C9B" w:rsidRPr="0052027A" w:rsidRDefault="007E6C9B" w:rsidP="0052027A">
      <w:pPr>
        <w:jc w:val="both"/>
      </w:pPr>
    </w:p>
    <w:p w14:paraId="76B9E21B" w14:textId="73B4DD71" w:rsidR="006626F8" w:rsidRPr="0052027A" w:rsidRDefault="006626F8" w:rsidP="0052027A">
      <w:pPr>
        <w:jc w:val="both"/>
        <w:rPr>
          <w:b/>
          <w:bCs/>
        </w:rPr>
      </w:pPr>
      <w:r w:rsidRPr="0052027A">
        <w:rPr>
          <w:b/>
          <w:bCs/>
        </w:rPr>
        <w:t>DISCUSSION</w:t>
      </w:r>
    </w:p>
    <w:p w14:paraId="7CA02166" w14:textId="262E2EE2" w:rsidR="006626F8" w:rsidRPr="0052027A" w:rsidRDefault="006626F8" w:rsidP="0052027A">
      <w:pPr>
        <w:jc w:val="both"/>
      </w:pPr>
    </w:p>
    <w:p w14:paraId="4383B53E" w14:textId="77777777" w:rsidR="007E6C9B" w:rsidRPr="007E6C9B" w:rsidRDefault="007E6C9B" w:rsidP="0052027A">
      <w:r w:rsidRPr="007E6C9B">
        <w:t>This section should discuss the implications of the findings in context of existing research and highlight limitations of the study.</w:t>
      </w:r>
    </w:p>
    <w:p w14:paraId="0A06D083" w14:textId="6B875A6A" w:rsidR="006626F8" w:rsidRPr="0052027A" w:rsidRDefault="006626F8" w:rsidP="0052027A">
      <w:pPr>
        <w:jc w:val="both"/>
      </w:pPr>
    </w:p>
    <w:p w14:paraId="42A4802E" w14:textId="77777777" w:rsidR="007E6C9B" w:rsidRPr="0052027A" w:rsidRDefault="007E6C9B" w:rsidP="0052027A">
      <w:pPr>
        <w:jc w:val="both"/>
      </w:pPr>
    </w:p>
    <w:p w14:paraId="126FCD11" w14:textId="3DC1A89A" w:rsidR="00CF7900" w:rsidRPr="0052027A" w:rsidRDefault="00CF7900" w:rsidP="0052027A">
      <w:pPr>
        <w:jc w:val="both"/>
        <w:rPr>
          <w:b/>
        </w:rPr>
      </w:pPr>
      <w:r w:rsidRPr="0052027A">
        <w:rPr>
          <w:b/>
        </w:rPr>
        <w:t>CONCLUSION</w:t>
      </w:r>
      <w:r w:rsidR="007E6C9B" w:rsidRPr="0052027A">
        <w:rPr>
          <w:b/>
        </w:rPr>
        <w:t>S</w:t>
      </w:r>
    </w:p>
    <w:p w14:paraId="2D7D8A10" w14:textId="77777777" w:rsidR="002D50E1" w:rsidRPr="0052027A" w:rsidRDefault="002D50E1" w:rsidP="0052027A">
      <w:pPr>
        <w:jc w:val="both"/>
      </w:pPr>
    </w:p>
    <w:p w14:paraId="0C7967ED" w14:textId="109A95D6" w:rsidR="007E6C9B" w:rsidRPr="0052027A" w:rsidRDefault="002A01B2" w:rsidP="0052027A">
      <w:r w:rsidRPr="0052027A">
        <w:t>Authors are expected to</w:t>
      </w:r>
      <w:r w:rsidR="007E6C9B" w:rsidRPr="0052027A">
        <w:t xml:space="preserve"> state clearly the main conclusions and provide an explanation of the importance and relevance of the study reported.</w:t>
      </w:r>
    </w:p>
    <w:p w14:paraId="771E96AD" w14:textId="65670459" w:rsidR="007E6C9B" w:rsidRPr="0052027A" w:rsidRDefault="007E6C9B" w:rsidP="0052027A">
      <w:pPr>
        <w:jc w:val="both"/>
      </w:pPr>
    </w:p>
    <w:p w14:paraId="03F0BF95" w14:textId="77777777" w:rsidR="007E6C9B" w:rsidRPr="0052027A" w:rsidRDefault="007E6C9B" w:rsidP="0052027A">
      <w:pPr>
        <w:jc w:val="both"/>
      </w:pPr>
    </w:p>
    <w:p w14:paraId="45F27AF0" w14:textId="2B2CCA0F" w:rsidR="007E6C9B" w:rsidRPr="0052027A" w:rsidRDefault="007E6C9B" w:rsidP="0052027A">
      <w:pPr>
        <w:jc w:val="both"/>
        <w:rPr>
          <w:b/>
        </w:rPr>
      </w:pPr>
      <w:r w:rsidRPr="0052027A">
        <w:rPr>
          <w:b/>
        </w:rPr>
        <w:t>LIST OF ABBREVIATIONS</w:t>
      </w:r>
    </w:p>
    <w:p w14:paraId="3279DBBD" w14:textId="77777777" w:rsidR="007E6C9B" w:rsidRPr="0052027A" w:rsidRDefault="007E6C9B" w:rsidP="0052027A">
      <w:pPr>
        <w:jc w:val="both"/>
      </w:pPr>
    </w:p>
    <w:p w14:paraId="11F931B0" w14:textId="77777777" w:rsidR="007E6C9B" w:rsidRPr="0052027A" w:rsidRDefault="007E6C9B" w:rsidP="0052027A">
      <w:pPr>
        <w:jc w:val="both"/>
      </w:pPr>
      <w:r w:rsidRPr="0052027A">
        <w:t>ABB1: Abbreviation Number One</w:t>
      </w:r>
    </w:p>
    <w:p w14:paraId="1FF3EC67" w14:textId="77777777" w:rsidR="007E6C9B" w:rsidRPr="0052027A" w:rsidRDefault="007E6C9B" w:rsidP="0052027A">
      <w:pPr>
        <w:jc w:val="both"/>
      </w:pPr>
      <w:r w:rsidRPr="0052027A">
        <w:t>ABB2 : Abbreviation Number Two</w:t>
      </w:r>
    </w:p>
    <w:p w14:paraId="6BC0FF7C" w14:textId="77777777" w:rsidR="007E6C9B" w:rsidRPr="0052027A" w:rsidRDefault="007E6C9B" w:rsidP="0052027A">
      <w:pPr>
        <w:jc w:val="both"/>
      </w:pPr>
      <w:r w:rsidRPr="0052027A">
        <w:t>ABB3: Abbreviation Number Three</w:t>
      </w:r>
    </w:p>
    <w:p w14:paraId="3C1EC823" w14:textId="51D72A23" w:rsidR="007E6C9B" w:rsidRPr="0052027A" w:rsidRDefault="007E6C9B" w:rsidP="0052027A">
      <w:pPr>
        <w:jc w:val="both"/>
      </w:pPr>
    </w:p>
    <w:p w14:paraId="467860FF" w14:textId="77777777" w:rsidR="00094351" w:rsidRPr="0052027A" w:rsidRDefault="00094351" w:rsidP="0052027A">
      <w:pPr>
        <w:jc w:val="both"/>
      </w:pPr>
    </w:p>
    <w:p w14:paraId="18788830" w14:textId="3D7A4C54" w:rsidR="00CC0325" w:rsidRPr="0052027A" w:rsidRDefault="00094351" w:rsidP="0052027A">
      <w:pPr>
        <w:shd w:val="clear" w:color="auto" w:fill="E2EFD9" w:themeFill="accent6" w:themeFillTint="33"/>
        <w:jc w:val="center"/>
        <w:rPr>
          <w:b/>
          <w:bCs/>
          <w:color w:val="FF0000"/>
        </w:rPr>
      </w:pPr>
      <w:r w:rsidRPr="0052027A">
        <w:rPr>
          <w:b/>
          <w:bCs/>
          <w:color w:val="FF0000"/>
        </w:rPr>
        <w:t>-------------end of manuscript body, start of declarations section---------------</w:t>
      </w:r>
    </w:p>
    <w:p w14:paraId="00439448" w14:textId="132E0024" w:rsidR="007E6C9B" w:rsidRPr="0052027A" w:rsidRDefault="007E6C9B" w:rsidP="0052027A">
      <w:pPr>
        <w:jc w:val="both"/>
      </w:pPr>
    </w:p>
    <w:p w14:paraId="66C80EF6" w14:textId="77777777" w:rsidR="00094351" w:rsidRPr="0052027A" w:rsidRDefault="00094351" w:rsidP="0052027A">
      <w:pPr>
        <w:jc w:val="both"/>
      </w:pPr>
    </w:p>
    <w:p w14:paraId="74DF31E7" w14:textId="78452769" w:rsidR="007E6C9B" w:rsidRPr="0052027A" w:rsidRDefault="007E6C9B" w:rsidP="0052027A">
      <w:pPr>
        <w:jc w:val="both"/>
        <w:rPr>
          <w:b/>
        </w:rPr>
      </w:pPr>
      <w:r w:rsidRPr="0052027A">
        <w:rPr>
          <w:b/>
        </w:rPr>
        <w:t>ETHICS APPROVAL AND CONSENT TO PARTICIPATE</w:t>
      </w:r>
    </w:p>
    <w:p w14:paraId="74C755A5" w14:textId="77777777" w:rsidR="0052027A" w:rsidRDefault="0052027A" w:rsidP="0052027A">
      <w:pPr>
        <w:pStyle w:val="NormalWeb"/>
        <w:spacing w:before="0" w:beforeAutospacing="0" w:after="0" w:afterAutospacing="0"/>
      </w:pPr>
    </w:p>
    <w:p w14:paraId="57A5D61F" w14:textId="48BF7A65" w:rsidR="007E6C9B" w:rsidRPr="0052027A" w:rsidRDefault="007E6C9B" w:rsidP="0052027A">
      <w:pPr>
        <w:pStyle w:val="NormalWeb"/>
        <w:spacing w:before="0" w:beforeAutospacing="0" w:after="0" w:afterAutospacing="0"/>
      </w:pPr>
      <w:r w:rsidRPr="0052027A">
        <w:t>Manuscripts reporting studies involving human participants, human data or human tissue must:</w:t>
      </w:r>
    </w:p>
    <w:p w14:paraId="101436F6" w14:textId="77777777" w:rsidR="007E6C9B" w:rsidRPr="0052027A" w:rsidRDefault="007E6C9B" w:rsidP="0052027A">
      <w:pPr>
        <w:numPr>
          <w:ilvl w:val="0"/>
          <w:numId w:val="5"/>
        </w:numPr>
        <w:tabs>
          <w:tab w:val="clear" w:pos="720"/>
        </w:tabs>
        <w:ind w:left="567" w:hanging="283"/>
      </w:pPr>
      <w:r w:rsidRPr="0052027A">
        <w:t>include a statement on ethics approval and consent (even where the need for approval was waived)</w:t>
      </w:r>
    </w:p>
    <w:p w14:paraId="728D2AB8" w14:textId="77777777" w:rsidR="007E6C9B" w:rsidRPr="0052027A" w:rsidRDefault="007E6C9B" w:rsidP="0052027A">
      <w:pPr>
        <w:numPr>
          <w:ilvl w:val="0"/>
          <w:numId w:val="5"/>
        </w:numPr>
        <w:tabs>
          <w:tab w:val="clear" w:pos="720"/>
        </w:tabs>
        <w:ind w:left="567" w:hanging="283"/>
      </w:pPr>
      <w:r w:rsidRPr="0052027A">
        <w:t>include the name of the ethics committee that approved the study and the committee’s reference number if appropriate</w:t>
      </w:r>
    </w:p>
    <w:p w14:paraId="56E4E958" w14:textId="77777777" w:rsidR="0052027A" w:rsidRDefault="0052027A" w:rsidP="0052027A">
      <w:pPr>
        <w:pStyle w:val="NormalWeb"/>
        <w:spacing w:before="0" w:beforeAutospacing="0" w:after="0" w:afterAutospacing="0"/>
      </w:pPr>
    </w:p>
    <w:p w14:paraId="15018D0C" w14:textId="1E2D9CCB" w:rsidR="007E6C9B" w:rsidRPr="0052027A" w:rsidRDefault="007E6C9B" w:rsidP="0052027A">
      <w:pPr>
        <w:pStyle w:val="NormalWeb"/>
        <w:spacing w:before="0" w:beforeAutospacing="0" w:after="0" w:afterAutospacing="0"/>
      </w:pPr>
      <w:r w:rsidRPr="0052027A">
        <w:t>Studies involving animals must include a statement on ethics approval and for experimental studies involving client-owned animals, authors must also include a statement on informed consent from the client or owner.</w:t>
      </w:r>
    </w:p>
    <w:p w14:paraId="42DA8AA6" w14:textId="26D8A764" w:rsidR="007E6C9B" w:rsidRDefault="007E6C9B" w:rsidP="0052027A">
      <w:pPr>
        <w:jc w:val="both"/>
      </w:pPr>
    </w:p>
    <w:p w14:paraId="609A79AC" w14:textId="77777777" w:rsidR="0052027A" w:rsidRPr="0052027A" w:rsidRDefault="0052027A" w:rsidP="0052027A">
      <w:pPr>
        <w:jc w:val="both"/>
      </w:pPr>
    </w:p>
    <w:p w14:paraId="5505DE64" w14:textId="77777777" w:rsidR="007E6C9B" w:rsidRPr="0052027A" w:rsidRDefault="007E6C9B" w:rsidP="0052027A">
      <w:pPr>
        <w:jc w:val="both"/>
        <w:rPr>
          <w:b/>
        </w:rPr>
      </w:pPr>
      <w:r w:rsidRPr="0052027A">
        <w:rPr>
          <w:b/>
        </w:rPr>
        <w:t>COMPETING INTEREST</w:t>
      </w:r>
    </w:p>
    <w:p w14:paraId="5D31853B" w14:textId="77777777" w:rsidR="007E6C9B" w:rsidRPr="0052027A" w:rsidRDefault="007E6C9B" w:rsidP="0052027A">
      <w:pPr>
        <w:jc w:val="both"/>
      </w:pPr>
    </w:p>
    <w:p w14:paraId="4FD11FA5" w14:textId="77777777" w:rsidR="007E6C9B" w:rsidRPr="0052027A" w:rsidRDefault="007E6C9B" w:rsidP="0052027A">
      <w:pPr>
        <w:jc w:val="both"/>
      </w:pPr>
      <w:r w:rsidRPr="0052027A">
        <w:t>Authors should declare any competing or possible conflict of interest regarding to the article. Available funding donors should also be declared. If there is no competing interest to this study, please write:</w:t>
      </w:r>
    </w:p>
    <w:p w14:paraId="24B7D668" w14:textId="24DB84B0" w:rsidR="007E6C9B" w:rsidRPr="0052027A" w:rsidRDefault="0052027A" w:rsidP="0052027A">
      <w:pPr>
        <w:jc w:val="both"/>
      </w:pPr>
      <w:r>
        <w:rPr>
          <w:color w:val="000000"/>
          <w:lang w:val="en"/>
        </w:rPr>
        <w:t>“</w:t>
      </w:r>
      <w:r w:rsidR="007E6C9B" w:rsidRPr="0052027A">
        <w:rPr>
          <w:color w:val="000000"/>
          <w:lang w:val="en"/>
        </w:rPr>
        <w:t>The authors declare that there are no competing interests related to the study</w:t>
      </w:r>
      <w:r>
        <w:rPr>
          <w:color w:val="000000"/>
          <w:lang w:val="en"/>
        </w:rPr>
        <w:t>”</w:t>
      </w:r>
    </w:p>
    <w:p w14:paraId="03EB1C7F" w14:textId="77777777" w:rsidR="007E6C9B" w:rsidRPr="0052027A" w:rsidRDefault="007E6C9B" w:rsidP="0052027A">
      <w:pPr>
        <w:jc w:val="both"/>
        <w:rPr>
          <w:b/>
        </w:rPr>
      </w:pPr>
    </w:p>
    <w:p w14:paraId="37395DA1" w14:textId="77777777" w:rsidR="007E6C9B" w:rsidRPr="0052027A" w:rsidRDefault="007E6C9B" w:rsidP="0052027A">
      <w:pPr>
        <w:jc w:val="both"/>
        <w:rPr>
          <w:b/>
        </w:rPr>
      </w:pPr>
    </w:p>
    <w:p w14:paraId="7EF7B358" w14:textId="6DB0EB22" w:rsidR="00CF7900" w:rsidRPr="0052027A" w:rsidRDefault="00CF7900" w:rsidP="0052027A">
      <w:pPr>
        <w:jc w:val="both"/>
        <w:rPr>
          <w:b/>
        </w:rPr>
      </w:pPr>
      <w:r w:rsidRPr="0052027A">
        <w:rPr>
          <w:b/>
        </w:rPr>
        <w:t>ACKNOWLEDGEMENT</w:t>
      </w:r>
      <w:r w:rsidR="007E6C9B" w:rsidRPr="0052027A">
        <w:rPr>
          <w:b/>
        </w:rPr>
        <w:t>S</w:t>
      </w:r>
    </w:p>
    <w:p w14:paraId="709C0449" w14:textId="77777777" w:rsidR="002D50E1" w:rsidRPr="0052027A" w:rsidRDefault="002D50E1" w:rsidP="0052027A">
      <w:pPr>
        <w:jc w:val="both"/>
      </w:pPr>
    </w:p>
    <w:p w14:paraId="2C5D4D0C" w14:textId="77777777" w:rsidR="00CF7900" w:rsidRPr="0052027A" w:rsidRDefault="002A01B2" w:rsidP="0052027A">
      <w:pPr>
        <w:jc w:val="both"/>
      </w:pPr>
      <w:r w:rsidRPr="0052027A">
        <w:t>Authors might express their acknowledgement to ones who are supporting this study, including funding and other kinds or support. This section is optional.</w:t>
      </w:r>
    </w:p>
    <w:p w14:paraId="71258E23" w14:textId="2EC9C115" w:rsidR="002D50E1" w:rsidRPr="0052027A" w:rsidRDefault="002D50E1" w:rsidP="0052027A">
      <w:pPr>
        <w:jc w:val="both"/>
      </w:pPr>
    </w:p>
    <w:p w14:paraId="68BE3E40" w14:textId="77777777" w:rsidR="007E6C9B" w:rsidRPr="0052027A" w:rsidRDefault="007E6C9B" w:rsidP="0052027A">
      <w:pPr>
        <w:jc w:val="both"/>
        <w:rPr>
          <w:b/>
        </w:rPr>
      </w:pPr>
    </w:p>
    <w:p w14:paraId="1B879A27" w14:textId="7BDABF15" w:rsidR="00CF7900" w:rsidRPr="0052027A" w:rsidRDefault="00CF7900" w:rsidP="0052027A">
      <w:pPr>
        <w:jc w:val="both"/>
        <w:rPr>
          <w:b/>
        </w:rPr>
      </w:pPr>
      <w:r w:rsidRPr="0052027A">
        <w:rPr>
          <w:b/>
        </w:rPr>
        <w:t>AUTHORS’ CONTRIBUTION</w:t>
      </w:r>
    </w:p>
    <w:p w14:paraId="52129016" w14:textId="77777777" w:rsidR="002D50E1" w:rsidRPr="0052027A" w:rsidRDefault="002D50E1" w:rsidP="0052027A">
      <w:pPr>
        <w:jc w:val="both"/>
      </w:pPr>
    </w:p>
    <w:p w14:paraId="2D2E7E99" w14:textId="77777777" w:rsidR="002A01B2" w:rsidRPr="0052027A" w:rsidRDefault="002A01B2" w:rsidP="0052027A">
      <w:pPr>
        <w:jc w:val="both"/>
      </w:pPr>
      <w:r w:rsidRPr="0052027A">
        <w:t>In this section, authors’ details and their contribution toward the manuscript and research should be described. Example:</w:t>
      </w:r>
    </w:p>
    <w:p w14:paraId="6BBB8EEB" w14:textId="77777777" w:rsidR="002A01B2" w:rsidRPr="0052027A" w:rsidRDefault="002A01B2" w:rsidP="0052027A">
      <w:pPr>
        <w:jc w:val="both"/>
      </w:pPr>
    </w:p>
    <w:p w14:paraId="1566B753" w14:textId="77777777" w:rsidR="002A01B2" w:rsidRPr="0052027A" w:rsidRDefault="002A01B2" w:rsidP="0052027A">
      <w:pPr>
        <w:jc w:val="both"/>
        <w:rPr>
          <w:color w:val="000000"/>
          <w:lang w:val="en"/>
        </w:rPr>
      </w:pPr>
      <w:proofErr w:type="spellStart"/>
      <w:r w:rsidRPr="0052027A">
        <w:rPr>
          <w:i/>
          <w:color w:val="000000"/>
          <w:lang w:val="en"/>
        </w:rPr>
        <w:t>Andika</w:t>
      </w:r>
      <w:proofErr w:type="spellEnd"/>
      <w:r w:rsidRPr="0052027A">
        <w:rPr>
          <w:i/>
          <w:color w:val="000000"/>
          <w:lang w:val="en"/>
        </w:rPr>
        <w:t xml:space="preserve"> </w:t>
      </w:r>
      <w:proofErr w:type="spellStart"/>
      <w:r w:rsidRPr="0052027A">
        <w:rPr>
          <w:i/>
          <w:color w:val="000000"/>
          <w:lang w:val="en"/>
        </w:rPr>
        <w:t>Susina</w:t>
      </w:r>
      <w:proofErr w:type="spellEnd"/>
      <w:r w:rsidRPr="0052027A">
        <w:rPr>
          <w:color w:val="000000"/>
          <w:lang w:val="en"/>
        </w:rPr>
        <w:t xml:space="preserve"> – developing research proposal, collecting data, data analysis, and publication manuscript.</w:t>
      </w:r>
    </w:p>
    <w:p w14:paraId="209398A3" w14:textId="77777777" w:rsidR="002A01B2" w:rsidRPr="0052027A" w:rsidRDefault="002A01B2" w:rsidP="0052027A">
      <w:pPr>
        <w:jc w:val="both"/>
        <w:rPr>
          <w:color w:val="000000"/>
          <w:lang w:val="en"/>
        </w:rPr>
      </w:pPr>
      <w:proofErr w:type="spellStart"/>
      <w:r w:rsidRPr="0052027A">
        <w:rPr>
          <w:i/>
          <w:color w:val="000000"/>
          <w:lang w:val="en"/>
        </w:rPr>
        <w:t>Berlarminus</w:t>
      </w:r>
      <w:proofErr w:type="spellEnd"/>
      <w:r w:rsidRPr="0052027A">
        <w:rPr>
          <w:i/>
          <w:color w:val="000000"/>
          <w:lang w:val="en"/>
        </w:rPr>
        <w:t xml:space="preserve"> </w:t>
      </w:r>
      <w:r w:rsidRPr="0052027A">
        <w:rPr>
          <w:color w:val="000000"/>
          <w:lang w:val="en"/>
        </w:rPr>
        <w:t>– developing research proposal and collecting data.</w:t>
      </w:r>
    </w:p>
    <w:p w14:paraId="59536281" w14:textId="77777777" w:rsidR="002A01B2" w:rsidRPr="0052027A" w:rsidRDefault="002A01B2" w:rsidP="0052027A">
      <w:pPr>
        <w:jc w:val="both"/>
        <w:rPr>
          <w:color w:val="000000"/>
          <w:lang w:val="en"/>
        </w:rPr>
      </w:pPr>
      <w:proofErr w:type="spellStart"/>
      <w:r w:rsidRPr="0052027A">
        <w:rPr>
          <w:i/>
          <w:color w:val="000000"/>
          <w:lang w:val="en"/>
        </w:rPr>
        <w:t>Chicka</w:t>
      </w:r>
      <w:proofErr w:type="spellEnd"/>
      <w:r w:rsidRPr="0052027A">
        <w:rPr>
          <w:i/>
          <w:color w:val="000000"/>
          <w:lang w:val="en"/>
        </w:rPr>
        <w:t xml:space="preserve"> Ardelia</w:t>
      </w:r>
      <w:r w:rsidRPr="0052027A">
        <w:rPr>
          <w:color w:val="000000"/>
          <w:lang w:val="en"/>
        </w:rPr>
        <w:t xml:space="preserve"> – developing research proposal and collecting data.</w:t>
      </w:r>
    </w:p>
    <w:p w14:paraId="6EF6DF07" w14:textId="77777777" w:rsidR="002A01B2" w:rsidRPr="0052027A" w:rsidRDefault="002A01B2" w:rsidP="0052027A">
      <w:pPr>
        <w:jc w:val="both"/>
        <w:rPr>
          <w:color w:val="000000"/>
          <w:lang w:val="en"/>
        </w:rPr>
      </w:pPr>
      <w:proofErr w:type="spellStart"/>
      <w:r w:rsidRPr="0052027A">
        <w:rPr>
          <w:i/>
          <w:color w:val="000000"/>
          <w:lang w:val="en"/>
        </w:rPr>
        <w:t>Dadang</w:t>
      </w:r>
      <w:proofErr w:type="spellEnd"/>
      <w:r w:rsidRPr="0052027A">
        <w:rPr>
          <w:i/>
          <w:color w:val="000000"/>
          <w:lang w:val="en"/>
        </w:rPr>
        <w:t xml:space="preserve"> </w:t>
      </w:r>
      <w:proofErr w:type="spellStart"/>
      <w:r w:rsidRPr="0052027A">
        <w:rPr>
          <w:i/>
          <w:color w:val="000000"/>
          <w:lang w:val="en"/>
        </w:rPr>
        <w:t>Suparman</w:t>
      </w:r>
      <w:proofErr w:type="spellEnd"/>
      <w:r w:rsidRPr="0052027A">
        <w:rPr>
          <w:color w:val="000000"/>
          <w:lang w:val="en"/>
        </w:rPr>
        <w:t xml:space="preserve"> – data analysis and publication manuscript.</w:t>
      </w:r>
    </w:p>
    <w:p w14:paraId="0FD70C87" w14:textId="02521FA5" w:rsidR="00CF7900" w:rsidRDefault="00CF7900" w:rsidP="0052027A">
      <w:pPr>
        <w:jc w:val="both"/>
      </w:pPr>
    </w:p>
    <w:p w14:paraId="2394BB49" w14:textId="77777777" w:rsidR="0052027A" w:rsidRPr="0052027A" w:rsidRDefault="0052027A" w:rsidP="0052027A">
      <w:pPr>
        <w:jc w:val="both"/>
      </w:pPr>
    </w:p>
    <w:p w14:paraId="656D0A81" w14:textId="5EB8F299" w:rsidR="0052027A" w:rsidRPr="0052027A" w:rsidRDefault="0052027A" w:rsidP="0052027A">
      <w:pPr>
        <w:shd w:val="clear" w:color="auto" w:fill="E2EFD9" w:themeFill="accent6" w:themeFillTint="33"/>
        <w:jc w:val="center"/>
        <w:rPr>
          <w:b/>
          <w:bCs/>
          <w:color w:val="FF0000"/>
        </w:rPr>
      </w:pPr>
      <w:r w:rsidRPr="0052027A">
        <w:rPr>
          <w:b/>
          <w:bCs/>
          <w:color w:val="FF0000"/>
        </w:rPr>
        <w:t>-------------end of declarations section</w:t>
      </w:r>
      <w:r>
        <w:rPr>
          <w:b/>
          <w:bCs/>
          <w:color w:val="FF0000"/>
        </w:rPr>
        <w:t>, start of bibliography</w:t>
      </w:r>
      <w:r w:rsidRPr="0052027A">
        <w:rPr>
          <w:b/>
          <w:bCs/>
          <w:color w:val="FF0000"/>
        </w:rPr>
        <w:t>---------------</w:t>
      </w:r>
    </w:p>
    <w:p w14:paraId="37CDB85D" w14:textId="2338D533" w:rsidR="00094351" w:rsidRDefault="00094351" w:rsidP="0052027A">
      <w:pPr>
        <w:jc w:val="both"/>
      </w:pPr>
    </w:p>
    <w:p w14:paraId="5657D34D" w14:textId="77777777" w:rsidR="0052027A" w:rsidRPr="0052027A" w:rsidRDefault="0052027A" w:rsidP="0052027A">
      <w:pPr>
        <w:jc w:val="both"/>
      </w:pPr>
    </w:p>
    <w:p w14:paraId="4808499F" w14:textId="23333F25" w:rsidR="00CF7900" w:rsidRPr="0052027A" w:rsidRDefault="00CF7900" w:rsidP="0052027A">
      <w:pPr>
        <w:jc w:val="both"/>
        <w:rPr>
          <w:b/>
        </w:rPr>
      </w:pPr>
      <w:r w:rsidRPr="0052027A">
        <w:rPr>
          <w:b/>
        </w:rPr>
        <w:t>REFERENC</w:t>
      </w:r>
      <w:r w:rsidR="00094351" w:rsidRPr="0052027A">
        <w:rPr>
          <w:b/>
        </w:rPr>
        <w:t>E LIST</w:t>
      </w:r>
    </w:p>
    <w:p w14:paraId="00FD238B" w14:textId="77777777" w:rsidR="002D50E1" w:rsidRPr="0052027A" w:rsidRDefault="002D50E1" w:rsidP="0052027A">
      <w:pPr>
        <w:jc w:val="both"/>
      </w:pPr>
    </w:p>
    <w:p w14:paraId="0A49499E" w14:textId="3AA6ABE4" w:rsidR="00561EF6" w:rsidRPr="0052027A" w:rsidRDefault="002A01B2" w:rsidP="0052027A">
      <w:pPr>
        <w:jc w:val="both"/>
      </w:pPr>
      <w:r w:rsidRPr="0052027A">
        <w:t xml:space="preserve">The amount of literature cited should be sound but reasonable and it is expected that 70% of them are current literature of the last 10 years. </w:t>
      </w:r>
      <w:r w:rsidR="00561EF6" w:rsidRPr="0052027A">
        <w:t xml:space="preserve">Please use </w:t>
      </w:r>
      <w:r w:rsidR="0052027A" w:rsidRPr="0052027A">
        <w:t xml:space="preserve">BMC Med </w:t>
      </w:r>
      <w:proofErr w:type="spellStart"/>
      <w:r w:rsidR="0052027A" w:rsidRPr="0052027A">
        <w:t>Educ</w:t>
      </w:r>
      <w:proofErr w:type="spellEnd"/>
      <w:r w:rsidR="0052027A" w:rsidRPr="0052027A">
        <w:t xml:space="preserve"> Vancouver style</w:t>
      </w:r>
      <w:r w:rsidR="00561EF6" w:rsidRPr="0052027A">
        <w:t>:</w:t>
      </w:r>
    </w:p>
    <w:p w14:paraId="3899D5C4" w14:textId="77777777" w:rsidR="00561EF6" w:rsidRPr="0052027A" w:rsidRDefault="00561EF6" w:rsidP="0052027A">
      <w:pPr>
        <w:jc w:val="both"/>
      </w:pPr>
    </w:p>
    <w:p w14:paraId="00AA9B5C" w14:textId="77777777" w:rsidR="00561EF6" w:rsidRPr="0052027A" w:rsidRDefault="00561EF6" w:rsidP="0052027A">
      <w:pPr>
        <w:jc w:val="both"/>
        <w:rPr>
          <w:i/>
          <w:u w:val="single"/>
        </w:rPr>
      </w:pPr>
      <w:r w:rsidRPr="0052027A">
        <w:rPr>
          <w:i/>
          <w:u w:val="single"/>
        </w:rPr>
        <w:t>In-text Citation:</w:t>
      </w:r>
    </w:p>
    <w:p w14:paraId="2C16B772" w14:textId="03EFF6D2" w:rsidR="00561EF6" w:rsidRPr="0052027A" w:rsidRDefault="00561EF6" w:rsidP="0052027A">
      <w:pPr>
        <w:jc w:val="both"/>
      </w:pPr>
      <w:r w:rsidRPr="0052027A">
        <w:t>Us</w:t>
      </w:r>
      <w:r w:rsidR="0052027A" w:rsidRPr="0052027A">
        <w:t>e</w:t>
      </w:r>
      <w:r w:rsidRPr="0052027A">
        <w:t xml:space="preserve"> </w:t>
      </w:r>
      <w:r w:rsidR="0052027A" w:rsidRPr="0052027A">
        <w:t>bracketed-</w:t>
      </w:r>
      <w:r w:rsidRPr="0052027A">
        <w:t xml:space="preserve">numbering system, that should be written </w:t>
      </w:r>
      <w:r w:rsidR="0052027A" w:rsidRPr="0052027A">
        <w:t>before</w:t>
      </w:r>
      <w:r w:rsidRPr="0052027A">
        <w:t xml:space="preserve"> commas</w:t>
      </w:r>
      <w:r w:rsidR="0052027A" w:rsidRPr="0052027A">
        <w:t xml:space="preserve"> [</w:t>
      </w:r>
      <w:r w:rsidRPr="0052027A">
        <w:t>1</w:t>
      </w:r>
      <w:r w:rsidR="0052027A" w:rsidRPr="0052027A">
        <w:t>],</w:t>
      </w:r>
      <w:r w:rsidRPr="0052027A">
        <w:t xml:space="preserve"> full-stops</w:t>
      </w:r>
      <w:r w:rsidR="0052027A" w:rsidRPr="0052027A">
        <w:t xml:space="preserve"> [</w:t>
      </w:r>
      <w:r w:rsidRPr="0052027A">
        <w:t>2,3</w:t>
      </w:r>
      <w:r w:rsidR="0052027A" w:rsidRPr="0052027A">
        <w:t>].</w:t>
      </w:r>
      <w:r w:rsidRPr="0052027A">
        <w:t xml:space="preserve"> The in-text citation should be written before semicolon</w:t>
      </w:r>
      <w:r w:rsidR="0052027A" w:rsidRPr="0052027A">
        <w:t>s [</w:t>
      </w:r>
      <w:r w:rsidRPr="0052027A">
        <w:t>4-6</w:t>
      </w:r>
      <w:r w:rsidR="0052027A" w:rsidRPr="0052027A">
        <w:t>]</w:t>
      </w:r>
      <w:r w:rsidRPr="0052027A">
        <w:t>; or colon</w:t>
      </w:r>
      <w:r w:rsidR="0052027A" w:rsidRPr="0052027A">
        <w:t>s [</w:t>
      </w:r>
      <w:r w:rsidRPr="0052027A">
        <w:t>1,3,5-9</w:t>
      </w:r>
      <w:r w:rsidR="0052027A" w:rsidRPr="0052027A">
        <w:t>]:</w:t>
      </w:r>
      <w:r w:rsidRPr="0052027A">
        <w:t xml:space="preserve"> to adhere to </w:t>
      </w:r>
      <w:r w:rsidR="0052027A" w:rsidRPr="0052027A">
        <w:t xml:space="preserve">citation </w:t>
      </w:r>
      <w:r w:rsidRPr="0052027A">
        <w:t>guideline.</w:t>
      </w:r>
    </w:p>
    <w:p w14:paraId="7E884B88" w14:textId="77777777" w:rsidR="00561EF6" w:rsidRPr="0052027A" w:rsidRDefault="00561EF6" w:rsidP="0052027A">
      <w:pPr>
        <w:jc w:val="both"/>
      </w:pPr>
    </w:p>
    <w:p w14:paraId="4DC691CF" w14:textId="77777777" w:rsidR="00561EF6" w:rsidRPr="0052027A" w:rsidRDefault="00561EF6" w:rsidP="0052027A">
      <w:pPr>
        <w:jc w:val="both"/>
        <w:rPr>
          <w:i/>
          <w:u w:val="single"/>
        </w:rPr>
      </w:pPr>
      <w:r w:rsidRPr="0052027A">
        <w:rPr>
          <w:i/>
          <w:u w:val="single"/>
        </w:rPr>
        <w:t>Reference List</w:t>
      </w:r>
      <w:r w:rsidR="002D50E1" w:rsidRPr="0052027A">
        <w:rPr>
          <w:i/>
          <w:u w:val="single"/>
        </w:rPr>
        <w:t>:</w:t>
      </w:r>
    </w:p>
    <w:p w14:paraId="55D49BEC" w14:textId="77777777" w:rsidR="00561EF6" w:rsidRPr="0052027A" w:rsidRDefault="00561EF6" w:rsidP="0052027A">
      <w:pPr>
        <w:jc w:val="both"/>
      </w:pPr>
      <w:r w:rsidRPr="0052027A">
        <w:t>Some examples:</w:t>
      </w:r>
    </w:p>
    <w:p w14:paraId="1433EE3E" w14:textId="27DC8738" w:rsidR="00561EF6" w:rsidRPr="0052027A" w:rsidRDefault="00561EF6" w:rsidP="0052027A">
      <w:pPr>
        <w:jc w:val="both"/>
      </w:pPr>
    </w:p>
    <w:p w14:paraId="1CE2AED2" w14:textId="77777777" w:rsidR="0052027A" w:rsidRPr="0052027A" w:rsidRDefault="0052027A" w:rsidP="0052027A">
      <w:r w:rsidRPr="0052027A">
        <w:rPr>
          <w:b/>
          <w:bCs/>
        </w:rPr>
        <w:t>Example reference style:</w:t>
      </w:r>
    </w:p>
    <w:p w14:paraId="4A7E4CCF" w14:textId="77777777" w:rsidR="00165EFE" w:rsidRDefault="00165EFE" w:rsidP="0052027A">
      <w:pPr>
        <w:rPr>
          <w:i/>
          <w:iCs/>
        </w:rPr>
      </w:pPr>
    </w:p>
    <w:p w14:paraId="3F5976E5" w14:textId="00F17767" w:rsidR="0052027A" w:rsidRPr="0052027A" w:rsidRDefault="0052027A" w:rsidP="0052027A">
      <w:r w:rsidRPr="0052027A">
        <w:rPr>
          <w:i/>
          <w:iCs/>
        </w:rPr>
        <w:t>Article within a journal</w:t>
      </w:r>
    </w:p>
    <w:p w14:paraId="66330967" w14:textId="77777777" w:rsidR="0052027A" w:rsidRPr="0052027A" w:rsidRDefault="0052027A" w:rsidP="0052027A">
      <w:r w:rsidRPr="0052027A">
        <w:t>Smith JJ. The world of science. Am J Sci. 1999;36:234-5.</w:t>
      </w:r>
    </w:p>
    <w:p w14:paraId="6E831311" w14:textId="77777777" w:rsidR="00165EFE" w:rsidRDefault="00165EFE" w:rsidP="0052027A">
      <w:pPr>
        <w:rPr>
          <w:i/>
          <w:iCs/>
        </w:rPr>
      </w:pPr>
    </w:p>
    <w:p w14:paraId="4EFCA8EE" w14:textId="6A558959" w:rsidR="0052027A" w:rsidRPr="0052027A" w:rsidRDefault="0052027A" w:rsidP="0052027A">
      <w:r w:rsidRPr="0052027A">
        <w:rPr>
          <w:i/>
          <w:iCs/>
        </w:rPr>
        <w:t>Article within a journal (no page numbers)</w:t>
      </w:r>
    </w:p>
    <w:p w14:paraId="4DE99D9C" w14:textId="77777777" w:rsidR="0052027A" w:rsidRPr="0052027A" w:rsidRDefault="0052027A" w:rsidP="0052027A">
      <w:proofErr w:type="spellStart"/>
      <w:r w:rsidRPr="0052027A">
        <w:t>Rohrmann</w:t>
      </w:r>
      <w:proofErr w:type="spellEnd"/>
      <w:r w:rsidRPr="0052027A">
        <w:t xml:space="preserve"> S, </w:t>
      </w:r>
      <w:proofErr w:type="spellStart"/>
      <w:r w:rsidRPr="0052027A">
        <w:t>Overvad</w:t>
      </w:r>
      <w:proofErr w:type="spellEnd"/>
      <w:r w:rsidRPr="0052027A">
        <w:t xml:space="preserve"> K, Bueno-de-Mesquita HB, Jakobsen MU, </w:t>
      </w:r>
      <w:proofErr w:type="spellStart"/>
      <w:r w:rsidRPr="0052027A">
        <w:t>Egeberg</w:t>
      </w:r>
      <w:proofErr w:type="spellEnd"/>
      <w:r w:rsidRPr="0052027A">
        <w:t xml:space="preserve"> R, </w:t>
      </w:r>
      <w:proofErr w:type="spellStart"/>
      <w:r w:rsidRPr="0052027A">
        <w:t>Tjønneland</w:t>
      </w:r>
      <w:proofErr w:type="spellEnd"/>
      <w:r w:rsidRPr="0052027A">
        <w:t xml:space="preserve"> A, et al. Meat consumption and mortality - results from the European Prospective Investigation into Cancer and Nutrition. BMC Medicine. 2013;11:63.</w:t>
      </w:r>
    </w:p>
    <w:p w14:paraId="713B92DE" w14:textId="77777777" w:rsidR="00165EFE" w:rsidRDefault="00165EFE" w:rsidP="0052027A">
      <w:pPr>
        <w:rPr>
          <w:i/>
          <w:iCs/>
        </w:rPr>
      </w:pPr>
    </w:p>
    <w:p w14:paraId="165039C6" w14:textId="357F570E" w:rsidR="0052027A" w:rsidRPr="0052027A" w:rsidRDefault="0052027A" w:rsidP="0052027A">
      <w:r w:rsidRPr="0052027A">
        <w:rPr>
          <w:i/>
          <w:iCs/>
        </w:rPr>
        <w:t>Article within a journal by DOI</w:t>
      </w:r>
    </w:p>
    <w:p w14:paraId="1EC51B14" w14:textId="77777777" w:rsidR="0052027A" w:rsidRPr="0052027A" w:rsidRDefault="0052027A" w:rsidP="0052027A">
      <w:proofErr w:type="spellStart"/>
      <w:r w:rsidRPr="0052027A">
        <w:t>Slifka</w:t>
      </w:r>
      <w:proofErr w:type="spellEnd"/>
      <w:r w:rsidRPr="0052027A">
        <w:t xml:space="preserve"> MK, Whitton JL. Clinical implications of dysregulated cytokine production. Dig J Mol Med. 2000; doi:10.1007/s801090000086.</w:t>
      </w:r>
    </w:p>
    <w:p w14:paraId="285941BE" w14:textId="77777777" w:rsidR="00165EFE" w:rsidRDefault="00165EFE" w:rsidP="0052027A">
      <w:pPr>
        <w:rPr>
          <w:i/>
          <w:iCs/>
        </w:rPr>
      </w:pPr>
    </w:p>
    <w:p w14:paraId="0AAC7FF2" w14:textId="157E463D" w:rsidR="0052027A" w:rsidRPr="0052027A" w:rsidRDefault="0052027A" w:rsidP="0052027A">
      <w:r w:rsidRPr="0052027A">
        <w:rPr>
          <w:i/>
          <w:iCs/>
        </w:rPr>
        <w:t>Article within a journal supplement</w:t>
      </w:r>
    </w:p>
    <w:p w14:paraId="16B52ACD" w14:textId="77777777" w:rsidR="0052027A" w:rsidRPr="0052027A" w:rsidRDefault="0052027A" w:rsidP="0052027A">
      <w:proofErr w:type="spellStart"/>
      <w:r w:rsidRPr="0052027A">
        <w:t>Frumin</w:t>
      </w:r>
      <w:proofErr w:type="spellEnd"/>
      <w:r w:rsidRPr="0052027A">
        <w:t xml:space="preserve"> AM, Nussbaum J, Esposito M. Functional asplenia: demonstration of splenic activity by bone marrow scan. Blood 1979;59 </w:t>
      </w:r>
      <w:proofErr w:type="spellStart"/>
      <w:r w:rsidRPr="0052027A">
        <w:t>Suppl</w:t>
      </w:r>
      <w:proofErr w:type="spellEnd"/>
      <w:r w:rsidRPr="0052027A">
        <w:t xml:space="preserve"> 1:26-32.</w:t>
      </w:r>
    </w:p>
    <w:p w14:paraId="29A50E8B" w14:textId="77777777" w:rsidR="00165EFE" w:rsidRDefault="00165EFE" w:rsidP="0052027A">
      <w:pPr>
        <w:rPr>
          <w:i/>
          <w:iCs/>
        </w:rPr>
      </w:pPr>
    </w:p>
    <w:p w14:paraId="3F37C3AE" w14:textId="033BD69E" w:rsidR="0052027A" w:rsidRPr="0052027A" w:rsidRDefault="0052027A" w:rsidP="0052027A">
      <w:r w:rsidRPr="0052027A">
        <w:rPr>
          <w:i/>
          <w:iCs/>
        </w:rPr>
        <w:t>Book chapter, or an article within a book</w:t>
      </w:r>
    </w:p>
    <w:p w14:paraId="595AAF72" w14:textId="77777777" w:rsidR="0052027A" w:rsidRPr="0052027A" w:rsidRDefault="0052027A" w:rsidP="0052027A">
      <w:r w:rsidRPr="0052027A">
        <w:t xml:space="preserve">Wyllie AH, Kerr JFR, Currie AR. Cell death: the significance of apoptosis. In: </w:t>
      </w:r>
      <w:proofErr w:type="spellStart"/>
      <w:r w:rsidRPr="0052027A">
        <w:t>Bourne</w:t>
      </w:r>
      <w:proofErr w:type="spellEnd"/>
      <w:r w:rsidRPr="0052027A">
        <w:t xml:space="preserve"> GH, </w:t>
      </w:r>
      <w:proofErr w:type="spellStart"/>
      <w:r w:rsidRPr="0052027A">
        <w:t>Danielli</w:t>
      </w:r>
      <w:proofErr w:type="spellEnd"/>
      <w:r w:rsidRPr="0052027A">
        <w:t xml:space="preserve"> JF, Jeon KW, editors. International review of cytology. London: Academic; 1980. p. 251-306.</w:t>
      </w:r>
    </w:p>
    <w:p w14:paraId="716F1596" w14:textId="77777777" w:rsidR="00165EFE" w:rsidRDefault="00165EFE" w:rsidP="0052027A">
      <w:pPr>
        <w:rPr>
          <w:i/>
          <w:iCs/>
        </w:rPr>
      </w:pPr>
    </w:p>
    <w:p w14:paraId="07097BF7" w14:textId="3C2BA53E" w:rsidR="0052027A" w:rsidRPr="0052027A" w:rsidRDefault="0052027A" w:rsidP="0052027A">
      <w:proofErr w:type="spellStart"/>
      <w:r w:rsidRPr="0052027A">
        <w:rPr>
          <w:i/>
          <w:iCs/>
        </w:rPr>
        <w:t>OnlineFirst</w:t>
      </w:r>
      <w:proofErr w:type="spellEnd"/>
      <w:r w:rsidRPr="0052027A">
        <w:rPr>
          <w:i/>
          <w:iCs/>
        </w:rPr>
        <w:t xml:space="preserve"> chapter in a series (without a volume designation but with a DOI)</w:t>
      </w:r>
    </w:p>
    <w:p w14:paraId="11E55427" w14:textId="77777777" w:rsidR="0052027A" w:rsidRPr="0052027A" w:rsidRDefault="0052027A" w:rsidP="0052027A">
      <w:r w:rsidRPr="0052027A">
        <w:t xml:space="preserve">Saito Y, </w:t>
      </w:r>
      <w:proofErr w:type="spellStart"/>
      <w:r w:rsidRPr="0052027A">
        <w:t>Hyuga</w:t>
      </w:r>
      <w:proofErr w:type="spellEnd"/>
      <w:r w:rsidRPr="0052027A">
        <w:t xml:space="preserve"> H. Rate equation approaches to amplification of enantiomeric excess and chiral symmetry breaking. Top </w:t>
      </w:r>
      <w:proofErr w:type="spellStart"/>
      <w:r w:rsidRPr="0052027A">
        <w:t>Curr</w:t>
      </w:r>
      <w:proofErr w:type="spellEnd"/>
      <w:r w:rsidRPr="0052027A">
        <w:t xml:space="preserve"> Chem. 2007. doi:10.1007/128_2006_108.</w:t>
      </w:r>
    </w:p>
    <w:p w14:paraId="750839A3" w14:textId="77777777" w:rsidR="00165EFE" w:rsidRDefault="00165EFE" w:rsidP="0052027A">
      <w:pPr>
        <w:rPr>
          <w:i/>
          <w:iCs/>
        </w:rPr>
      </w:pPr>
    </w:p>
    <w:p w14:paraId="25DA1018" w14:textId="4D9C0212" w:rsidR="0052027A" w:rsidRPr="0052027A" w:rsidRDefault="0052027A" w:rsidP="0052027A">
      <w:r w:rsidRPr="0052027A">
        <w:rPr>
          <w:i/>
          <w:iCs/>
        </w:rPr>
        <w:t>Complete book, authored</w:t>
      </w:r>
    </w:p>
    <w:p w14:paraId="39A83DD7" w14:textId="77777777" w:rsidR="0052027A" w:rsidRPr="0052027A" w:rsidRDefault="0052027A" w:rsidP="0052027A">
      <w:r w:rsidRPr="0052027A">
        <w:t>Blenkinsopp A, Paxton P. Symptoms in the pharmacy: a guide to the management of common illness. 3rd ed. Oxford: Blackwell Science; 1998.</w:t>
      </w:r>
    </w:p>
    <w:p w14:paraId="01E61AA0" w14:textId="77777777" w:rsidR="00165EFE" w:rsidRDefault="00165EFE" w:rsidP="0052027A">
      <w:pPr>
        <w:rPr>
          <w:i/>
          <w:iCs/>
        </w:rPr>
      </w:pPr>
    </w:p>
    <w:p w14:paraId="065921C6" w14:textId="57981EE5" w:rsidR="0052027A" w:rsidRPr="0052027A" w:rsidRDefault="0052027A" w:rsidP="0052027A">
      <w:r w:rsidRPr="0052027A">
        <w:rPr>
          <w:i/>
          <w:iCs/>
        </w:rPr>
        <w:t>Online document</w:t>
      </w:r>
    </w:p>
    <w:p w14:paraId="2471530B" w14:textId="77777777" w:rsidR="0052027A" w:rsidRPr="0052027A" w:rsidRDefault="0052027A" w:rsidP="0052027A">
      <w:r w:rsidRPr="0052027A">
        <w:t>Doe J. Title of subordinate document. In: The dictionary of substances and their effects. Royal Society of Chemistry. 1999. http://www.rsc.org/dose/title of subordinate document. Accessed 15 Jan 1999.</w:t>
      </w:r>
    </w:p>
    <w:p w14:paraId="2E37C62A" w14:textId="77777777" w:rsidR="00165EFE" w:rsidRDefault="00165EFE" w:rsidP="0052027A">
      <w:pPr>
        <w:rPr>
          <w:i/>
          <w:iCs/>
        </w:rPr>
      </w:pPr>
    </w:p>
    <w:p w14:paraId="2A8B839F" w14:textId="73982106" w:rsidR="0052027A" w:rsidRPr="0052027A" w:rsidRDefault="0052027A" w:rsidP="0052027A">
      <w:r w:rsidRPr="0052027A">
        <w:rPr>
          <w:i/>
          <w:iCs/>
        </w:rPr>
        <w:t>Online database</w:t>
      </w:r>
    </w:p>
    <w:p w14:paraId="45452E32" w14:textId="77777777" w:rsidR="0052027A" w:rsidRPr="0052027A" w:rsidRDefault="0052027A" w:rsidP="0052027A">
      <w:r w:rsidRPr="0052027A">
        <w:t>Healthwise Knowledgebase. US Pharmacopeia, Rockville. 1998. http://www.healthwise.org. Accessed 21 Sept 1998.</w:t>
      </w:r>
    </w:p>
    <w:p w14:paraId="76E095C1" w14:textId="77777777" w:rsidR="00165EFE" w:rsidRDefault="00165EFE" w:rsidP="0052027A">
      <w:pPr>
        <w:rPr>
          <w:i/>
          <w:iCs/>
        </w:rPr>
      </w:pPr>
    </w:p>
    <w:p w14:paraId="0A0A204A" w14:textId="2CBA01B7" w:rsidR="0052027A" w:rsidRPr="0052027A" w:rsidRDefault="0052027A" w:rsidP="0052027A">
      <w:r w:rsidRPr="0052027A">
        <w:rPr>
          <w:i/>
          <w:iCs/>
        </w:rPr>
        <w:t>Supplementary material/private homepage</w:t>
      </w:r>
    </w:p>
    <w:p w14:paraId="41856E7B" w14:textId="77777777" w:rsidR="0052027A" w:rsidRPr="0052027A" w:rsidRDefault="0052027A" w:rsidP="0052027A">
      <w:r w:rsidRPr="0052027A">
        <w:t>Doe J. Title of supplementary material. 2000. http://www.privatehomepage.com. Accessed 22 Feb 2000.</w:t>
      </w:r>
    </w:p>
    <w:p w14:paraId="012D7420" w14:textId="77777777" w:rsidR="00165EFE" w:rsidRDefault="00165EFE" w:rsidP="0052027A">
      <w:pPr>
        <w:rPr>
          <w:i/>
          <w:iCs/>
        </w:rPr>
      </w:pPr>
    </w:p>
    <w:p w14:paraId="36EC35FB" w14:textId="20DE09DF" w:rsidR="0052027A" w:rsidRPr="0052027A" w:rsidRDefault="0052027A" w:rsidP="0052027A">
      <w:r w:rsidRPr="0052027A">
        <w:rPr>
          <w:i/>
          <w:iCs/>
        </w:rPr>
        <w:t>University site</w:t>
      </w:r>
    </w:p>
    <w:p w14:paraId="1EDFBB19" w14:textId="77777777" w:rsidR="0052027A" w:rsidRPr="0052027A" w:rsidRDefault="0052027A" w:rsidP="0052027A">
      <w:r w:rsidRPr="0052027A">
        <w:t>Doe, J: Title of preprint. http://www.uni-heidelberg.de/mydata.html (1999). Accessed 25 Dec 1999.</w:t>
      </w:r>
    </w:p>
    <w:p w14:paraId="113DC6C0" w14:textId="77777777" w:rsidR="00165EFE" w:rsidRDefault="00165EFE" w:rsidP="0052027A">
      <w:pPr>
        <w:rPr>
          <w:i/>
          <w:iCs/>
        </w:rPr>
      </w:pPr>
    </w:p>
    <w:p w14:paraId="08196A8E" w14:textId="47CCA75F" w:rsidR="0052027A" w:rsidRPr="0052027A" w:rsidRDefault="0052027A" w:rsidP="0052027A">
      <w:r w:rsidRPr="0052027A">
        <w:rPr>
          <w:i/>
          <w:iCs/>
        </w:rPr>
        <w:t>FTP site</w:t>
      </w:r>
    </w:p>
    <w:p w14:paraId="52196D1A" w14:textId="77777777" w:rsidR="0052027A" w:rsidRPr="0052027A" w:rsidRDefault="0052027A" w:rsidP="0052027A">
      <w:r w:rsidRPr="0052027A">
        <w:t>Doe, J: Trivial HTTP, RFC2169. ftp://ftp.isi.edu/in-notes/rfc2169.txt (1999). Accessed 12 Nov 1999.</w:t>
      </w:r>
    </w:p>
    <w:p w14:paraId="00BC62E2" w14:textId="77777777" w:rsidR="00165EFE" w:rsidRDefault="00165EFE" w:rsidP="0052027A">
      <w:pPr>
        <w:rPr>
          <w:i/>
          <w:iCs/>
        </w:rPr>
      </w:pPr>
    </w:p>
    <w:p w14:paraId="347B5C08" w14:textId="09FE6D86" w:rsidR="0052027A" w:rsidRPr="0052027A" w:rsidRDefault="0052027A" w:rsidP="0052027A">
      <w:r w:rsidRPr="0052027A">
        <w:rPr>
          <w:i/>
          <w:iCs/>
        </w:rPr>
        <w:t>Organization site</w:t>
      </w:r>
    </w:p>
    <w:p w14:paraId="7B8673B9" w14:textId="77777777" w:rsidR="0052027A" w:rsidRPr="0052027A" w:rsidRDefault="0052027A" w:rsidP="0052027A">
      <w:r w:rsidRPr="0052027A">
        <w:t>ISSN International Centre: The ISSN register. http://www.issn.org (2006). Accessed 20 Feb 2007.</w:t>
      </w:r>
    </w:p>
    <w:p w14:paraId="1861DE0F" w14:textId="77777777" w:rsidR="00165EFE" w:rsidRDefault="00165EFE" w:rsidP="0052027A">
      <w:pPr>
        <w:rPr>
          <w:i/>
          <w:iCs/>
        </w:rPr>
      </w:pPr>
    </w:p>
    <w:p w14:paraId="701271B9" w14:textId="4595A182" w:rsidR="0052027A" w:rsidRPr="0052027A" w:rsidRDefault="0052027A" w:rsidP="0052027A">
      <w:r w:rsidRPr="0052027A">
        <w:rPr>
          <w:i/>
          <w:iCs/>
        </w:rPr>
        <w:t>Dataset with persistent identifier</w:t>
      </w:r>
    </w:p>
    <w:p w14:paraId="569C2A9C" w14:textId="2B3586AE" w:rsidR="00F56CC8" w:rsidRPr="0052027A" w:rsidRDefault="0052027A" w:rsidP="00CE3ED8">
      <w:r w:rsidRPr="0052027A">
        <w:t xml:space="preserve">Zheng L-Y, Guo X-S, He B, Sun L-J, Peng Y, Dong S-S, et al. Genome data from sweet and grain sorghum (Sorghum </w:t>
      </w:r>
      <w:proofErr w:type="spellStart"/>
      <w:r w:rsidRPr="0052027A">
        <w:t>bicolor</w:t>
      </w:r>
      <w:proofErr w:type="spellEnd"/>
      <w:r w:rsidRPr="0052027A">
        <w:t xml:space="preserve">). </w:t>
      </w:r>
      <w:proofErr w:type="spellStart"/>
      <w:r w:rsidRPr="0052027A">
        <w:t>GigaScience</w:t>
      </w:r>
      <w:proofErr w:type="spellEnd"/>
      <w:r w:rsidRPr="0052027A">
        <w:t xml:space="preserve"> Database. 2011. </w:t>
      </w:r>
      <w:hyperlink r:id="rId6" w:history="1">
        <w:r w:rsidRPr="0052027A">
          <w:rPr>
            <w:color w:val="0000FF"/>
            <w:u w:val="single"/>
          </w:rPr>
          <w:t>http://dx.doi.org/10.5524/100012</w:t>
        </w:r>
      </w:hyperlink>
      <w:r w:rsidRPr="0052027A">
        <w:t>.</w:t>
      </w:r>
    </w:p>
    <w:sectPr w:rsidR="00F56CC8" w:rsidRPr="0052027A" w:rsidSect="008826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1435"/>
    <w:multiLevelType w:val="hybridMultilevel"/>
    <w:tmpl w:val="F83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17987"/>
    <w:multiLevelType w:val="hybridMultilevel"/>
    <w:tmpl w:val="841ED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01B0F"/>
    <w:multiLevelType w:val="hybridMultilevel"/>
    <w:tmpl w:val="3EDAAAE2"/>
    <w:lvl w:ilvl="0" w:tplc="3EC207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941BE"/>
    <w:multiLevelType w:val="multilevel"/>
    <w:tmpl w:val="A91630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96B5B"/>
    <w:multiLevelType w:val="hybridMultilevel"/>
    <w:tmpl w:val="C0F2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76775">
    <w:abstractNumId w:val="4"/>
  </w:num>
  <w:num w:numId="2" w16cid:durableId="751321895">
    <w:abstractNumId w:val="1"/>
  </w:num>
  <w:num w:numId="3" w16cid:durableId="798182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2955071">
    <w:abstractNumId w:val="0"/>
  </w:num>
  <w:num w:numId="5" w16cid:durableId="130057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C7"/>
    <w:rsid w:val="000118AB"/>
    <w:rsid w:val="00011C5A"/>
    <w:rsid w:val="00011E53"/>
    <w:rsid w:val="00017F65"/>
    <w:rsid w:val="00021564"/>
    <w:rsid w:val="00021E54"/>
    <w:rsid w:val="00023A75"/>
    <w:rsid w:val="000249B2"/>
    <w:rsid w:val="00026D16"/>
    <w:rsid w:val="00030DB1"/>
    <w:rsid w:val="00033CD5"/>
    <w:rsid w:val="00040C7F"/>
    <w:rsid w:val="00061882"/>
    <w:rsid w:val="000626BD"/>
    <w:rsid w:val="00065F67"/>
    <w:rsid w:val="00067070"/>
    <w:rsid w:val="0006781B"/>
    <w:rsid w:val="00074F80"/>
    <w:rsid w:val="000771E1"/>
    <w:rsid w:val="000834AC"/>
    <w:rsid w:val="000842F5"/>
    <w:rsid w:val="00094351"/>
    <w:rsid w:val="00096743"/>
    <w:rsid w:val="00096D06"/>
    <w:rsid w:val="000977E9"/>
    <w:rsid w:val="000A00D8"/>
    <w:rsid w:val="000A2D5D"/>
    <w:rsid w:val="000A6198"/>
    <w:rsid w:val="000A702E"/>
    <w:rsid w:val="000B2F07"/>
    <w:rsid w:val="000B47A7"/>
    <w:rsid w:val="000B6A3E"/>
    <w:rsid w:val="000B6B81"/>
    <w:rsid w:val="000C4717"/>
    <w:rsid w:val="000C5C7E"/>
    <w:rsid w:val="000C7FC8"/>
    <w:rsid w:val="000D2153"/>
    <w:rsid w:val="000E1479"/>
    <w:rsid w:val="000E5862"/>
    <w:rsid w:val="00100E9D"/>
    <w:rsid w:val="00102BD5"/>
    <w:rsid w:val="0010469C"/>
    <w:rsid w:val="00105515"/>
    <w:rsid w:val="001077C3"/>
    <w:rsid w:val="00115C86"/>
    <w:rsid w:val="001171AB"/>
    <w:rsid w:val="00120891"/>
    <w:rsid w:val="001378AA"/>
    <w:rsid w:val="00141672"/>
    <w:rsid w:val="00144DAF"/>
    <w:rsid w:val="0014784D"/>
    <w:rsid w:val="00150C9D"/>
    <w:rsid w:val="00151476"/>
    <w:rsid w:val="001552F4"/>
    <w:rsid w:val="00155F08"/>
    <w:rsid w:val="00156675"/>
    <w:rsid w:val="00157960"/>
    <w:rsid w:val="00163268"/>
    <w:rsid w:val="001637C2"/>
    <w:rsid w:val="001650EF"/>
    <w:rsid w:val="001652C0"/>
    <w:rsid w:val="00165EFE"/>
    <w:rsid w:val="00173EE2"/>
    <w:rsid w:val="00176BD8"/>
    <w:rsid w:val="001779B2"/>
    <w:rsid w:val="00180865"/>
    <w:rsid w:val="00182CE2"/>
    <w:rsid w:val="0018629A"/>
    <w:rsid w:val="00191011"/>
    <w:rsid w:val="00193B43"/>
    <w:rsid w:val="0019503B"/>
    <w:rsid w:val="001A7F6C"/>
    <w:rsid w:val="001B1188"/>
    <w:rsid w:val="001B2C74"/>
    <w:rsid w:val="001B79F5"/>
    <w:rsid w:val="001C11B2"/>
    <w:rsid w:val="001C288A"/>
    <w:rsid w:val="001C53BD"/>
    <w:rsid w:val="001C771A"/>
    <w:rsid w:val="001D1394"/>
    <w:rsid w:val="001D3509"/>
    <w:rsid w:val="001D400B"/>
    <w:rsid w:val="001D7B22"/>
    <w:rsid w:val="001E2046"/>
    <w:rsid w:val="001E28A2"/>
    <w:rsid w:val="001F139E"/>
    <w:rsid w:val="001F37E3"/>
    <w:rsid w:val="001F6E91"/>
    <w:rsid w:val="001F7D27"/>
    <w:rsid w:val="00204F78"/>
    <w:rsid w:val="00206FE3"/>
    <w:rsid w:val="002177E6"/>
    <w:rsid w:val="0022055A"/>
    <w:rsid w:val="0022352D"/>
    <w:rsid w:val="002241D0"/>
    <w:rsid w:val="0022645A"/>
    <w:rsid w:val="00233032"/>
    <w:rsid w:val="002457C0"/>
    <w:rsid w:val="00245E0E"/>
    <w:rsid w:val="00246C32"/>
    <w:rsid w:val="0025445D"/>
    <w:rsid w:val="002628D2"/>
    <w:rsid w:val="00263D0D"/>
    <w:rsid w:val="00266A8E"/>
    <w:rsid w:val="00267AAB"/>
    <w:rsid w:val="00273C8A"/>
    <w:rsid w:val="002757B2"/>
    <w:rsid w:val="0027744B"/>
    <w:rsid w:val="00277F90"/>
    <w:rsid w:val="00280DF4"/>
    <w:rsid w:val="00280F0B"/>
    <w:rsid w:val="00282341"/>
    <w:rsid w:val="002940BD"/>
    <w:rsid w:val="00297959"/>
    <w:rsid w:val="002A01B2"/>
    <w:rsid w:val="002B46FE"/>
    <w:rsid w:val="002B70B5"/>
    <w:rsid w:val="002C034D"/>
    <w:rsid w:val="002C03A2"/>
    <w:rsid w:val="002C16F3"/>
    <w:rsid w:val="002C2E40"/>
    <w:rsid w:val="002C6C0C"/>
    <w:rsid w:val="002D2B81"/>
    <w:rsid w:val="002D3C8B"/>
    <w:rsid w:val="002D50E1"/>
    <w:rsid w:val="002F1C41"/>
    <w:rsid w:val="002F2AFB"/>
    <w:rsid w:val="002F48B1"/>
    <w:rsid w:val="00303288"/>
    <w:rsid w:val="00306224"/>
    <w:rsid w:val="003103EA"/>
    <w:rsid w:val="00310677"/>
    <w:rsid w:val="00310E2E"/>
    <w:rsid w:val="00315FF4"/>
    <w:rsid w:val="00320681"/>
    <w:rsid w:val="00320945"/>
    <w:rsid w:val="003216DB"/>
    <w:rsid w:val="00322496"/>
    <w:rsid w:val="0032392C"/>
    <w:rsid w:val="00324E6A"/>
    <w:rsid w:val="00325525"/>
    <w:rsid w:val="0033101B"/>
    <w:rsid w:val="00331D54"/>
    <w:rsid w:val="00332890"/>
    <w:rsid w:val="00336AD3"/>
    <w:rsid w:val="003379A8"/>
    <w:rsid w:val="003413C2"/>
    <w:rsid w:val="00343CD6"/>
    <w:rsid w:val="00344FF8"/>
    <w:rsid w:val="00346B21"/>
    <w:rsid w:val="00350836"/>
    <w:rsid w:val="00363ABF"/>
    <w:rsid w:val="003660EC"/>
    <w:rsid w:val="00370980"/>
    <w:rsid w:val="00370A78"/>
    <w:rsid w:val="00373D65"/>
    <w:rsid w:val="00374476"/>
    <w:rsid w:val="0038451C"/>
    <w:rsid w:val="003875B4"/>
    <w:rsid w:val="00391C45"/>
    <w:rsid w:val="003973EB"/>
    <w:rsid w:val="003A671F"/>
    <w:rsid w:val="003B413B"/>
    <w:rsid w:val="003B7BAF"/>
    <w:rsid w:val="003C1755"/>
    <w:rsid w:val="003C45C2"/>
    <w:rsid w:val="003C607D"/>
    <w:rsid w:val="003E34FF"/>
    <w:rsid w:val="003E7BC8"/>
    <w:rsid w:val="003F701F"/>
    <w:rsid w:val="003F771E"/>
    <w:rsid w:val="00400A23"/>
    <w:rsid w:val="0040261C"/>
    <w:rsid w:val="004112EE"/>
    <w:rsid w:val="00413940"/>
    <w:rsid w:val="004139A1"/>
    <w:rsid w:val="0042149E"/>
    <w:rsid w:val="00422C0E"/>
    <w:rsid w:val="00423CAF"/>
    <w:rsid w:val="00430C5A"/>
    <w:rsid w:val="0043109A"/>
    <w:rsid w:val="00445E70"/>
    <w:rsid w:val="00450BD7"/>
    <w:rsid w:val="00451AE2"/>
    <w:rsid w:val="004530A6"/>
    <w:rsid w:val="00456746"/>
    <w:rsid w:val="00460D7C"/>
    <w:rsid w:val="00465CAE"/>
    <w:rsid w:val="00471AF0"/>
    <w:rsid w:val="00471F93"/>
    <w:rsid w:val="004729E2"/>
    <w:rsid w:val="00474B9A"/>
    <w:rsid w:val="00480E96"/>
    <w:rsid w:val="00481823"/>
    <w:rsid w:val="00484ABA"/>
    <w:rsid w:val="00493CE5"/>
    <w:rsid w:val="00495C2C"/>
    <w:rsid w:val="00495C42"/>
    <w:rsid w:val="004A313E"/>
    <w:rsid w:val="004A55A7"/>
    <w:rsid w:val="004B05B5"/>
    <w:rsid w:val="004B0CCB"/>
    <w:rsid w:val="004B21CD"/>
    <w:rsid w:val="004B265D"/>
    <w:rsid w:val="004B5BAE"/>
    <w:rsid w:val="004B657B"/>
    <w:rsid w:val="004C76E6"/>
    <w:rsid w:val="004D588F"/>
    <w:rsid w:val="004D6663"/>
    <w:rsid w:val="004E32A3"/>
    <w:rsid w:val="004E3F01"/>
    <w:rsid w:val="004E4232"/>
    <w:rsid w:val="004E54C0"/>
    <w:rsid w:val="004E54FF"/>
    <w:rsid w:val="004F3098"/>
    <w:rsid w:val="004F71B1"/>
    <w:rsid w:val="00503851"/>
    <w:rsid w:val="00513D1C"/>
    <w:rsid w:val="005171F6"/>
    <w:rsid w:val="0052027A"/>
    <w:rsid w:val="005239A5"/>
    <w:rsid w:val="005254D9"/>
    <w:rsid w:val="00527F26"/>
    <w:rsid w:val="005357E7"/>
    <w:rsid w:val="00536495"/>
    <w:rsid w:val="005429EE"/>
    <w:rsid w:val="00543CD3"/>
    <w:rsid w:val="00544F1B"/>
    <w:rsid w:val="00545350"/>
    <w:rsid w:val="005504AB"/>
    <w:rsid w:val="005532BB"/>
    <w:rsid w:val="005615EE"/>
    <w:rsid w:val="00561EF6"/>
    <w:rsid w:val="0056312A"/>
    <w:rsid w:val="00563BC1"/>
    <w:rsid w:val="00565127"/>
    <w:rsid w:val="00567960"/>
    <w:rsid w:val="00577CA7"/>
    <w:rsid w:val="00584D26"/>
    <w:rsid w:val="005917A3"/>
    <w:rsid w:val="005B7201"/>
    <w:rsid w:val="005C04A7"/>
    <w:rsid w:val="005C6462"/>
    <w:rsid w:val="005D05F0"/>
    <w:rsid w:val="005D3C2D"/>
    <w:rsid w:val="005D5AF6"/>
    <w:rsid w:val="005D6EFA"/>
    <w:rsid w:val="005D723D"/>
    <w:rsid w:val="005E20C8"/>
    <w:rsid w:val="005E528E"/>
    <w:rsid w:val="005E79E1"/>
    <w:rsid w:val="005F0536"/>
    <w:rsid w:val="005F56EA"/>
    <w:rsid w:val="006004A0"/>
    <w:rsid w:val="006156BA"/>
    <w:rsid w:val="00615E38"/>
    <w:rsid w:val="00620063"/>
    <w:rsid w:val="00623B65"/>
    <w:rsid w:val="00623DD1"/>
    <w:rsid w:val="00625C47"/>
    <w:rsid w:val="00633A12"/>
    <w:rsid w:val="00637D45"/>
    <w:rsid w:val="00641577"/>
    <w:rsid w:val="0064778F"/>
    <w:rsid w:val="00651168"/>
    <w:rsid w:val="00652C78"/>
    <w:rsid w:val="00654C14"/>
    <w:rsid w:val="0065572A"/>
    <w:rsid w:val="00655D2A"/>
    <w:rsid w:val="00657339"/>
    <w:rsid w:val="00660B78"/>
    <w:rsid w:val="006626F8"/>
    <w:rsid w:val="00666CD3"/>
    <w:rsid w:val="00667548"/>
    <w:rsid w:val="006739E9"/>
    <w:rsid w:val="0068078D"/>
    <w:rsid w:val="00683BE6"/>
    <w:rsid w:val="006846DE"/>
    <w:rsid w:val="00690BA3"/>
    <w:rsid w:val="00691548"/>
    <w:rsid w:val="00692E4F"/>
    <w:rsid w:val="006A006B"/>
    <w:rsid w:val="006A2BAC"/>
    <w:rsid w:val="006A3342"/>
    <w:rsid w:val="006A3A31"/>
    <w:rsid w:val="006B26D0"/>
    <w:rsid w:val="006B617E"/>
    <w:rsid w:val="006B7A64"/>
    <w:rsid w:val="006D330E"/>
    <w:rsid w:val="006D7556"/>
    <w:rsid w:val="006F0ABE"/>
    <w:rsid w:val="006F24F9"/>
    <w:rsid w:val="006F46A9"/>
    <w:rsid w:val="00701538"/>
    <w:rsid w:val="00701C5A"/>
    <w:rsid w:val="007027A5"/>
    <w:rsid w:val="007068C2"/>
    <w:rsid w:val="00706FE9"/>
    <w:rsid w:val="007076FD"/>
    <w:rsid w:val="00716F2E"/>
    <w:rsid w:val="007213B8"/>
    <w:rsid w:val="007265D6"/>
    <w:rsid w:val="00734C43"/>
    <w:rsid w:val="00734CC7"/>
    <w:rsid w:val="007360CA"/>
    <w:rsid w:val="00737F10"/>
    <w:rsid w:val="0074099F"/>
    <w:rsid w:val="00745BEB"/>
    <w:rsid w:val="00751F21"/>
    <w:rsid w:val="007536F3"/>
    <w:rsid w:val="00755D00"/>
    <w:rsid w:val="0075639E"/>
    <w:rsid w:val="00756859"/>
    <w:rsid w:val="00770B2D"/>
    <w:rsid w:val="007714A8"/>
    <w:rsid w:val="007733A5"/>
    <w:rsid w:val="00774788"/>
    <w:rsid w:val="00775B0F"/>
    <w:rsid w:val="00780E89"/>
    <w:rsid w:val="00794AF6"/>
    <w:rsid w:val="007B275E"/>
    <w:rsid w:val="007B69D4"/>
    <w:rsid w:val="007B6CC0"/>
    <w:rsid w:val="007D1397"/>
    <w:rsid w:val="007D56AA"/>
    <w:rsid w:val="007E08D2"/>
    <w:rsid w:val="007E674E"/>
    <w:rsid w:val="007E6C9B"/>
    <w:rsid w:val="007E7525"/>
    <w:rsid w:val="007E7641"/>
    <w:rsid w:val="007E7FA4"/>
    <w:rsid w:val="00801023"/>
    <w:rsid w:val="0081135B"/>
    <w:rsid w:val="00811A6F"/>
    <w:rsid w:val="00812479"/>
    <w:rsid w:val="00820CE7"/>
    <w:rsid w:val="00820D89"/>
    <w:rsid w:val="00821C11"/>
    <w:rsid w:val="008235E3"/>
    <w:rsid w:val="0082500C"/>
    <w:rsid w:val="00836327"/>
    <w:rsid w:val="0084320D"/>
    <w:rsid w:val="00846FFE"/>
    <w:rsid w:val="00851839"/>
    <w:rsid w:val="00861582"/>
    <w:rsid w:val="00867DEE"/>
    <w:rsid w:val="008709C2"/>
    <w:rsid w:val="0087625D"/>
    <w:rsid w:val="00882603"/>
    <w:rsid w:val="00884647"/>
    <w:rsid w:val="0088591A"/>
    <w:rsid w:val="00887BAE"/>
    <w:rsid w:val="00895196"/>
    <w:rsid w:val="00896911"/>
    <w:rsid w:val="008A020C"/>
    <w:rsid w:val="008A10BA"/>
    <w:rsid w:val="008A1FC0"/>
    <w:rsid w:val="008A4053"/>
    <w:rsid w:val="008A5ABC"/>
    <w:rsid w:val="008B0118"/>
    <w:rsid w:val="008B2E20"/>
    <w:rsid w:val="008B2F3D"/>
    <w:rsid w:val="008C2991"/>
    <w:rsid w:val="008C2F0E"/>
    <w:rsid w:val="008C38BB"/>
    <w:rsid w:val="008C4FED"/>
    <w:rsid w:val="008D7B41"/>
    <w:rsid w:val="008E1112"/>
    <w:rsid w:val="008E2CFC"/>
    <w:rsid w:val="008E49CC"/>
    <w:rsid w:val="008F0572"/>
    <w:rsid w:val="008F2750"/>
    <w:rsid w:val="008F321A"/>
    <w:rsid w:val="008F3968"/>
    <w:rsid w:val="008F462B"/>
    <w:rsid w:val="008F4DB0"/>
    <w:rsid w:val="009014CE"/>
    <w:rsid w:val="009052F9"/>
    <w:rsid w:val="00911563"/>
    <w:rsid w:val="009115C7"/>
    <w:rsid w:val="00911A95"/>
    <w:rsid w:val="009138C5"/>
    <w:rsid w:val="00914D53"/>
    <w:rsid w:val="0092273D"/>
    <w:rsid w:val="00922C21"/>
    <w:rsid w:val="00924C5D"/>
    <w:rsid w:val="009310E7"/>
    <w:rsid w:val="009427F4"/>
    <w:rsid w:val="00942A7C"/>
    <w:rsid w:val="0094361E"/>
    <w:rsid w:val="00946CBF"/>
    <w:rsid w:val="009539CC"/>
    <w:rsid w:val="00954B55"/>
    <w:rsid w:val="00955C30"/>
    <w:rsid w:val="00960F56"/>
    <w:rsid w:val="00963763"/>
    <w:rsid w:val="009645F5"/>
    <w:rsid w:val="00964FB9"/>
    <w:rsid w:val="00966BD2"/>
    <w:rsid w:val="00966DF3"/>
    <w:rsid w:val="009737A5"/>
    <w:rsid w:val="00975775"/>
    <w:rsid w:val="009761A8"/>
    <w:rsid w:val="00980FE6"/>
    <w:rsid w:val="00981031"/>
    <w:rsid w:val="00985942"/>
    <w:rsid w:val="00990486"/>
    <w:rsid w:val="00995E74"/>
    <w:rsid w:val="009A3FF8"/>
    <w:rsid w:val="009A4C84"/>
    <w:rsid w:val="009A5515"/>
    <w:rsid w:val="009A5C40"/>
    <w:rsid w:val="009A7E18"/>
    <w:rsid w:val="009B269B"/>
    <w:rsid w:val="009C3316"/>
    <w:rsid w:val="009C5820"/>
    <w:rsid w:val="009D6E0D"/>
    <w:rsid w:val="009E0914"/>
    <w:rsid w:val="009E100B"/>
    <w:rsid w:val="009E38FD"/>
    <w:rsid w:val="009E7015"/>
    <w:rsid w:val="009F1949"/>
    <w:rsid w:val="009F199E"/>
    <w:rsid w:val="009F3261"/>
    <w:rsid w:val="009F41AE"/>
    <w:rsid w:val="009F4AE4"/>
    <w:rsid w:val="00A050FC"/>
    <w:rsid w:val="00A0771A"/>
    <w:rsid w:val="00A0780A"/>
    <w:rsid w:val="00A130E5"/>
    <w:rsid w:val="00A20DDD"/>
    <w:rsid w:val="00A23921"/>
    <w:rsid w:val="00A26770"/>
    <w:rsid w:val="00A26B3C"/>
    <w:rsid w:val="00A273E1"/>
    <w:rsid w:val="00A311A6"/>
    <w:rsid w:val="00A4395A"/>
    <w:rsid w:val="00A51351"/>
    <w:rsid w:val="00A6006F"/>
    <w:rsid w:val="00A60636"/>
    <w:rsid w:val="00A65C29"/>
    <w:rsid w:val="00A6632A"/>
    <w:rsid w:val="00A7002E"/>
    <w:rsid w:val="00A72967"/>
    <w:rsid w:val="00A74B43"/>
    <w:rsid w:val="00A76280"/>
    <w:rsid w:val="00A80C79"/>
    <w:rsid w:val="00A944D6"/>
    <w:rsid w:val="00AA0A62"/>
    <w:rsid w:val="00AA78AA"/>
    <w:rsid w:val="00AC1AA2"/>
    <w:rsid w:val="00AD37A9"/>
    <w:rsid w:val="00AD3BDA"/>
    <w:rsid w:val="00AD5D4F"/>
    <w:rsid w:val="00AD5E0A"/>
    <w:rsid w:val="00AD6081"/>
    <w:rsid w:val="00AD7289"/>
    <w:rsid w:val="00AD7AB5"/>
    <w:rsid w:val="00AF2895"/>
    <w:rsid w:val="00AF2D7D"/>
    <w:rsid w:val="00B00239"/>
    <w:rsid w:val="00B02030"/>
    <w:rsid w:val="00B0213E"/>
    <w:rsid w:val="00B058AE"/>
    <w:rsid w:val="00B06A51"/>
    <w:rsid w:val="00B107B5"/>
    <w:rsid w:val="00B169C6"/>
    <w:rsid w:val="00B37632"/>
    <w:rsid w:val="00B408CC"/>
    <w:rsid w:val="00B42C90"/>
    <w:rsid w:val="00B5009E"/>
    <w:rsid w:val="00B520A5"/>
    <w:rsid w:val="00B52D72"/>
    <w:rsid w:val="00B61864"/>
    <w:rsid w:val="00B66650"/>
    <w:rsid w:val="00B705A6"/>
    <w:rsid w:val="00B725D5"/>
    <w:rsid w:val="00B72A83"/>
    <w:rsid w:val="00B76699"/>
    <w:rsid w:val="00B92767"/>
    <w:rsid w:val="00BA7849"/>
    <w:rsid w:val="00BB0CCA"/>
    <w:rsid w:val="00BB43BC"/>
    <w:rsid w:val="00BC0105"/>
    <w:rsid w:val="00BC5F93"/>
    <w:rsid w:val="00BD2579"/>
    <w:rsid w:val="00BD4233"/>
    <w:rsid w:val="00BD4A5F"/>
    <w:rsid w:val="00BD65CF"/>
    <w:rsid w:val="00BF2037"/>
    <w:rsid w:val="00BF332B"/>
    <w:rsid w:val="00BF39AA"/>
    <w:rsid w:val="00C02E35"/>
    <w:rsid w:val="00C04ACB"/>
    <w:rsid w:val="00C2055B"/>
    <w:rsid w:val="00C24EFA"/>
    <w:rsid w:val="00C257FE"/>
    <w:rsid w:val="00C30A4E"/>
    <w:rsid w:val="00C376A3"/>
    <w:rsid w:val="00C4090E"/>
    <w:rsid w:val="00C47B7D"/>
    <w:rsid w:val="00C51E83"/>
    <w:rsid w:val="00C67FD3"/>
    <w:rsid w:val="00C711E4"/>
    <w:rsid w:val="00C71BE2"/>
    <w:rsid w:val="00C71F31"/>
    <w:rsid w:val="00C8579F"/>
    <w:rsid w:val="00C87EC8"/>
    <w:rsid w:val="00C90675"/>
    <w:rsid w:val="00C90BA1"/>
    <w:rsid w:val="00C93309"/>
    <w:rsid w:val="00C94AAB"/>
    <w:rsid w:val="00C96976"/>
    <w:rsid w:val="00C97203"/>
    <w:rsid w:val="00CA1477"/>
    <w:rsid w:val="00CA3B94"/>
    <w:rsid w:val="00CB5763"/>
    <w:rsid w:val="00CB5FBC"/>
    <w:rsid w:val="00CB71AB"/>
    <w:rsid w:val="00CB7FCD"/>
    <w:rsid w:val="00CC0325"/>
    <w:rsid w:val="00CC0ABB"/>
    <w:rsid w:val="00CC4CB5"/>
    <w:rsid w:val="00CC5BF2"/>
    <w:rsid w:val="00CD7D50"/>
    <w:rsid w:val="00CE0AC6"/>
    <w:rsid w:val="00CE3ED8"/>
    <w:rsid w:val="00CE45A8"/>
    <w:rsid w:val="00CF4FC2"/>
    <w:rsid w:val="00CF7900"/>
    <w:rsid w:val="00D01294"/>
    <w:rsid w:val="00D015A3"/>
    <w:rsid w:val="00D04952"/>
    <w:rsid w:val="00D07B39"/>
    <w:rsid w:val="00D15287"/>
    <w:rsid w:val="00D16705"/>
    <w:rsid w:val="00D22464"/>
    <w:rsid w:val="00D22B6F"/>
    <w:rsid w:val="00D3060D"/>
    <w:rsid w:val="00D306E6"/>
    <w:rsid w:val="00D3522E"/>
    <w:rsid w:val="00D358DE"/>
    <w:rsid w:val="00D43401"/>
    <w:rsid w:val="00D45151"/>
    <w:rsid w:val="00D46AFF"/>
    <w:rsid w:val="00D51CEF"/>
    <w:rsid w:val="00D7029F"/>
    <w:rsid w:val="00D931E5"/>
    <w:rsid w:val="00DA2D86"/>
    <w:rsid w:val="00DB09FE"/>
    <w:rsid w:val="00DB45CF"/>
    <w:rsid w:val="00DB50B6"/>
    <w:rsid w:val="00DC220A"/>
    <w:rsid w:val="00DC56ED"/>
    <w:rsid w:val="00DD4BE6"/>
    <w:rsid w:val="00DD614B"/>
    <w:rsid w:val="00DE3B12"/>
    <w:rsid w:val="00DE4839"/>
    <w:rsid w:val="00DF25FC"/>
    <w:rsid w:val="00DF4448"/>
    <w:rsid w:val="00E00556"/>
    <w:rsid w:val="00E00AE9"/>
    <w:rsid w:val="00E06D10"/>
    <w:rsid w:val="00E12A5E"/>
    <w:rsid w:val="00E141C0"/>
    <w:rsid w:val="00E17598"/>
    <w:rsid w:val="00E20C74"/>
    <w:rsid w:val="00E30E42"/>
    <w:rsid w:val="00E345B6"/>
    <w:rsid w:val="00E360E4"/>
    <w:rsid w:val="00E40981"/>
    <w:rsid w:val="00E40AB5"/>
    <w:rsid w:val="00E4680F"/>
    <w:rsid w:val="00E53D54"/>
    <w:rsid w:val="00E55F44"/>
    <w:rsid w:val="00E574E6"/>
    <w:rsid w:val="00E609FB"/>
    <w:rsid w:val="00E61FE0"/>
    <w:rsid w:val="00E6321E"/>
    <w:rsid w:val="00E64D18"/>
    <w:rsid w:val="00E65C00"/>
    <w:rsid w:val="00E66A9E"/>
    <w:rsid w:val="00E81D3E"/>
    <w:rsid w:val="00E85A98"/>
    <w:rsid w:val="00E91AB3"/>
    <w:rsid w:val="00E93B6D"/>
    <w:rsid w:val="00EA3FE7"/>
    <w:rsid w:val="00EA4AEE"/>
    <w:rsid w:val="00EA50B6"/>
    <w:rsid w:val="00EB5DFA"/>
    <w:rsid w:val="00EB78AB"/>
    <w:rsid w:val="00EC2230"/>
    <w:rsid w:val="00EC350D"/>
    <w:rsid w:val="00EC6FEF"/>
    <w:rsid w:val="00ED647A"/>
    <w:rsid w:val="00ED75BF"/>
    <w:rsid w:val="00EE2FC5"/>
    <w:rsid w:val="00EE31FE"/>
    <w:rsid w:val="00EE456C"/>
    <w:rsid w:val="00EE5598"/>
    <w:rsid w:val="00EE715F"/>
    <w:rsid w:val="00EE7A7E"/>
    <w:rsid w:val="00EF2022"/>
    <w:rsid w:val="00F0171F"/>
    <w:rsid w:val="00F04722"/>
    <w:rsid w:val="00F04E85"/>
    <w:rsid w:val="00F06218"/>
    <w:rsid w:val="00F10A67"/>
    <w:rsid w:val="00F122C6"/>
    <w:rsid w:val="00F1629D"/>
    <w:rsid w:val="00F16330"/>
    <w:rsid w:val="00F16C5F"/>
    <w:rsid w:val="00F206B4"/>
    <w:rsid w:val="00F22738"/>
    <w:rsid w:val="00F32604"/>
    <w:rsid w:val="00F33627"/>
    <w:rsid w:val="00F3425A"/>
    <w:rsid w:val="00F45830"/>
    <w:rsid w:val="00F52499"/>
    <w:rsid w:val="00F56493"/>
    <w:rsid w:val="00F568F6"/>
    <w:rsid w:val="00F56CC8"/>
    <w:rsid w:val="00F678B4"/>
    <w:rsid w:val="00F67D75"/>
    <w:rsid w:val="00F72B7C"/>
    <w:rsid w:val="00F80A37"/>
    <w:rsid w:val="00F96952"/>
    <w:rsid w:val="00FA6D32"/>
    <w:rsid w:val="00FA6DBE"/>
    <w:rsid w:val="00FB1876"/>
    <w:rsid w:val="00FB5B22"/>
    <w:rsid w:val="00FB60D9"/>
    <w:rsid w:val="00FB7F4F"/>
    <w:rsid w:val="00FC1F6E"/>
    <w:rsid w:val="00FC27A8"/>
    <w:rsid w:val="00FC38EC"/>
    <w:rsid w:val="00FC6B05"/>
    <w:rsid w:val="00FC7B3D"/>
    <w:rsid w:val="00FD1C54"/>
    <w:rsid w:val="00FD3935"/>
    <w:rsid w:val="00FD4E7E"/>
    <w:rsid w:val="00FD5644"/>
    <w:rsid w:val="00FE173E"/>
    <w:rsid w:val="00FE19CB"/>
    <w:rsid w:val="00FE5E80"/>
    <w:rsid w:val="00FE666A"/>
    <w:rsid w:val="00FF3373"/>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3068"/>
  <w15:chartTrackingRefBased/>
  <w15:docId w15:val="{45E50044-8DDC-EA45-877C-99F94B13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6C9B"/>
    <w:rPr>
      <w:rFonts w:ascii="Times New Roman" w:eastAsia="Times New Roman" w:hAnsi="Times New Roman"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479"/>
    <w:pPr>
      <w:ind w:left="720"/>
      <w:contextualSpacing/>
    </w:pPr>
  </w:style>
  <w:style w:type="character" w:styleId="Hyperlink">
    <w:name w:val="Hyperlink"/>
    <w:uiPriority w:val="99"/>
    <w:unhideWhenUsed/>
    <w:rsid w:val="00561EF6"/>
    <w:rPr>
      <w:color w:val="0000FF"/>
      <w:u w:val="single"/>
    </w:rPr>
  </w:style>
  <w:style w:type="character" w:styleId="UnresolvedMention">
    <w:name w:val="Unresolved Mention"/>
    <w:basedOn w:val="DefaultParagraphFont"/>
    <w:uiPriority w:val="99"/>
    <w:rsid w:val="00561EF6"/>
    <w:rPr>
      <w:color w:val="605E5C"/>
      <w:shd w:val="clear" w:color="auto" w:fill="E1DFDD"/>
    </w:rPr>
  </w:style>
  <w:style w:type="paragraph" w:styleId="NormalWeb">
    <w:name w:val="Normal (Web)"/>
    <w:basedOn w:val="Normal"/>
    <w:uiPriority w:val="99"/>
    <w:unhideWhenUsed/>
    <w:rsid w:val="007E6C9B"/>
    <w:pPr>
      <w:spacing w:before="100" w:beforeAutospacing="1" w:after="100" w:afterAutospacing="1"/>
    </w:pPr>
  </w:style>
  <w:style w:type="character" w:styleId="Strong">
    <w:name w:val="Strong"/>
    <w:basedOn w:val="DefaultParagraphFont"/>
    <w:uiPriority w:val="22"/>
    <w:qFormat/>
    <w:rsid w:val="0052027A"/>
    <w:rPr>
      <w:b/>
      <w:bCs/>
    </w:rPr>
  </w:style>
  <w:style w:type="character" w:styleId="Emphasis">
    <w:name w:val="Emphasis"/>
    <w:basedOn w:val="DefaultParagraphFont"/>
    <w:uiPriority w:val="20"/>
    <w:qFormat/>
    <w:rsid w:val="00520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1875">
      <w:bodyDiv w:val="1"/>
      <w:marLeft w:val="0"/>
      <w:marRight w:val="0"/>
      <w:marTop w:val="0"/>
      <w:marBottom w:val="0"/>
      <w:divBdr>
        <w:top w:val="none" w:sz="0" w:space="0" w:color="auto"/>
        <w:left w:val="none" w:sz="0" w:space="0" w:color="auto"/>
        <w:bottom w:val="none" w:sz="0" w:space="0" w:color="auto"/>
        <w:right w:val="none" w:sz="0" w:space="0" w:color="auto"/>
      </w:divBdr>
    </w:div>
    <w:div w:id="332879267">
      <w:bodyDiv w:val="1"/>
      <w:marLeft w:val="0"/>
      <w:marRight w:val="0"/>
      <w:marTop w:val="0"/>
      <w:marBottom w:val="0"/>
      <w:divBdr>
        <w:top w:val="none" w:sz="0" w:space="0" w:color="auto"/>
        <w:left w:val="none" w:sz="0" w:space="0" w:color="auto"/>
        <w:bottom w:val="none" w:sz="0" w:space="0" w:color="auto"/>
        <w:right w:val="none" w:sz="0" w:space="0" w:color="auto"/>
      </w:divBdr>
    </w:div>
    <w:div w:id="358622719">
      <w:bodyDiv w:val="1"/>
      <w:marLeft w:val="0"/>
      <w:marRight w:val="0"/>
      <w:marTop w:val="0"/>
      <w:marBottom w:val="0"/>
      <w:divBdr>
        <w:top w:val="none" w:sz="0" w:space="0" w:color="auto"/>
        <w:left w:val="none" w:sz="0" w:space="0" w:color="auto"/>
        <w:bottom w:val="none" w:sz="0" w:space="0" w:color="auto"/>
        <w:right w:val="none" w:sz="0" w:space="0" w:color="auto"/>
      </w:divBdr>
    </w:div>
    <w:div w:id="370806456">
      <w:bodyDiv w:val="1"/>
      <w:marLeft w:val="0"/>
      <w:marRight w:val="0"/>
      <w:marTop w:val="0"/>
      <w:marBottom w:val="0"/>
      <w:divBdr>
        <w:top w:val="none" w:sz="0" w:space="0" w:color="auto"/>
        <w:left w:val="none" w:sz="0" w:space="0" w:color="auto"/>
        <w:bottom w:val="none" w:sz="0" w:space="0" w:color="auto"/>
        <w:right w:val="none" w:sz="0" w:space="0" w:color="auto"/>
      </w:divBdr>
    </w:div>
    <w:div w:id="418217195">
      <w:bodyDiv w:val="1"/>
      <w:marLeft w:val="0"/>
      <w:marRight w:val="0"/>
      <w:marTop w:val="0"/>
      <w:marBottom w:val="0"/>
      <w:divBdr>
        <w:top w:val="none" w:sz="0" w:space="0" w:color="auto"/>
        <w:left w:val="none" w:sz="0" w:space="0" w:color="auto"/>
        <w:bottom w:val="none" w:sz="0" w:space="0" w:color="auto"/>
        <w:right w:val="none" w:sz="0" w:space="0" w:color="auto"/>
      </w:divBdr>
    </w:div>
    <w:div w:id="434059169">
      <w:bodyDiv w:val="1"/>
      <w:marLeft w:val="0"/>
      <w:marRight w:val="0"/>
      <w:marTop w:val="0"/>
      <w:marBottom w:val="0"/>
      <w:divBdr>
        <w:top w:val="none" w:sz="0" w:space="0" w:color="auto"/>
        <w:left w:val="none" w:sz="0" w:space="0" w:color="auto"/>
        <w:bottom w:val="none" w:sz="0" w:space="0" w:color="auto"/>
        <w:right w:val="none" w:sz="0" w:space="0" w:color="auto"/>
      </w:divBdr>
    </w:div>
    <w:div w:id="518853081">
      <w:bodyDiv w:val="1"/>
      <w:marLeft w:val="0"/>
      <w:marRight w:val="0"/>
      <w:marTop w:val="0"/>
      <w:marBottom w:val="0"/>
      <w:divBdr>
        <w:top w:val="none" w:sz="0" w:space="0" w:color="auto"/>
        <w:left w:val="none" w:sz="0" w:space="0" w:color="auto"/>
        <w:bottom w:val="none" w:sz="0" w:space="0" w:color="auto"/>
        <w:right w:val="none" w:sz="0" w:space="0" w:color="auto"/>
      </w:divBdr>
    </w:div>
    <w:div w:id="527107429">
      <w:bodyDiv w:val="1"/>
      <w:marLeft w:val="0"/>
      <w:marRight w:val="0"/>
      <w:marTop w:val="0"/>
      <w:marBottom w:val="0"/>
      <w:divBdr>
        <w:top w:val="none" w:sz="0" w:space="0" w:color="auto"/>
        <w:left w:val="none" w:sz="0" w:space="0" w:color="auto"/>
        <w:bottom w:val="none" w:sz="0" w:space="0" w:color="auto"/>
        <w:right w:val="none" w:sz="0" w:space="0" w:color="auto"/>
      </w:divBdr>
    </w:div>
    <w:div w:id="618530561">
      <w:bodyDiv w:val="1"/>
      <w:marLeft w:val="0"/>
      <w:marRight w:val="0"/>
      <w:marTop w:val="0"/>
      <w:marBottom w:val="0"/>
      <w:divBdr>
        <w:top w:val="none" w:sz="0" w:space="0" w:color="auto"/>
        <w:left w:val="none" w:sz="0" w:space="0" w:color="auto"/>
        <w:bottom w:val="none" w:sz="0" w:space="0" w:color="auto"/>
        <w:right w:val="none" w:sz="0" w:space="0" w:color="auto"/>
      </w:divBdr>
    </w:div>
    <w:div w:id="698550655">
      <w:bodyDiv w:val="1"/>
      <w:marLeft w:val="0"/>
      <w:marRight w:val="0"/>
      <w:marTop w:val="0"/>
      <w:marBottom w:val="0"/>
      <w:divBdr>
        <w:top w:val="none" w:sz="0" w:space="0" w:color="auto"/>
        <w:left w:val="none" w:sz="0" w:space="0" w:color="auto"/>
        <w:bottom w:val="none" w:sz="0" w:space="0" w:color="auto"/>
        <w:right w:val="none" w:sz="0" w:space="0" w:color="auto"/>
      </w:divBdr>
    </w:div>
    <w:div w:id="1175925807">
      <w:bodyDiv w:val="1"/>
      <w:marLeft w:val="0"/>
      <w:marRight w:val="0"/>
      <w:marTop w:val="0"/>
      <w:marBottom w:val="0"/>
      <w:divBdr>
        <w:top w:val="none" w:sz="0" w:space="0" w:color="auto"/>
        <w:left w:val="none" w:sz="0" w:space="0" w:color="auto"/>
        <w:bottom w:val="none" w:sz="0" w:space="0" w:color="auto"/>
        <w:right w:val="none" w:sz="0" w:space="0" w:color="auto"/>
      </w:divBdr>
    </w:div>
    <w:div w:id="1297293977">
      <w:bodyDiv w:val="1"/>
      <w:marLeft w:val="0"/>
      <w:marRight w:val="0"/>
      <w:marTop w:val="0"/>
      <w:marBottom w:val="0"/>
      <w:divBdr>
        <w:top w:val="none" w:sz="0" w:space="0" w:color="auto"/>
        <w:left w:val="none" w:sz="0" w:space="0" w:color="auto"/>
        <w:bottom w:val="none" w:sz="0" w:space="0" w:color="auto"/>
        <w:right w:val="none" w:sz="0" w:space="0" w:color="auto"/>
      </w:divBdr>
    </w:div>
    <w:div w:id="1396976039">
      <w:bodyDiv w:val="1"/>
      <w:marLeft w:val="0"/>
      <w:marRight w:val="0"/>
      <w:marTop w:val="0"/>
      <w:marBottom w:val="0"/>
      <w:divBdr>
        <w:top w:val="none" w:sz="0" w:space="0" w:color="auto"/>
        <w:left w:val="none" w:sz="0" w:space="0" w:color="auto"/>
        <w:bottom w:val="none" w:sz="0" w:space="0" w:color="auto"/>
        <w:right w:val="none" w:sz="0" w:space="0" w:color="auto"/>
      </w:divBdr>
    </w:div>
    <w:div w:id="1874151066">
      <w:bodyDiv w:val="1"/>
      <w:marLeft w:val="0"/>
      <w:marRight w:val="0"/>
      <w:marTop w:val="0"/>
      <w:marBottom w:val="0"/>
      <w:divBdr>
        <w:top w:val="none" w:sz="0" w:space="0" w:color="auto"/>
        <w:left w:val="none" w:sz="0" w:space="0" w:color="auto"/>
        <w:bottom w:val="none" w:sz="0" w:space="0" w:color="auto"/>
        <w:right w:val="none" w:sz="0" w:space="0" w:color="auto"/>
      </w:divBdr>
    </w:div>
    <w:div w:id="1942763915">
      <w:bodyDiv w:val="1"/>
      <w:marLeft w:val="0"/>
      <w:marRight w:val="0"/>
      <w:marTop w:val="0"/>
      <w:marBottom w:val="0"/>
      <w:divBdr>
        <w:top w:val="none" w:sz="0" w:space="0" w:color="auto"/>
        <w:left w:val="none" w:sz="0" w:space="0" w:color="auto"/>
        <w:bottom w:val="none" w:sz="0" w:space="0" w:color="auto"/>
        <w:right w:val="none" w:sz="0" w:space="0" w:color="auto"/>
      </w:divBdr>
    </w:div>
    <w:div w:id="2077974105">
      <w:bodyDiv w:val="1"/>
      <w:marLeft w:val="0"/>
      <w:marRight w:val="0"/>
      <w:marTop w:val="0"/>
      <w:marBottom w:val="0"/>
      <w:divBdr>
        <w:top w:val="none" w:sz="0" w:space="0" w:color="auto"/>
        <w:left w:val="none" w:sz="0" w:space="0" w:color="auto"/>
        <w:bottom w:val="none" w:sz="0" w:space="0" w:color="auto"/>
        <w:right w:val="none" w:sz="0" w:space="0" w:color="auto"/>
      </w:divBdr>
    </w:div>
    <w:div w:id="21465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5524/10001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Hirsute Hippo</cp:lastModifiedBy>
  <cp:revision>15</cp:revision>
  <dcterms:created xsi:type="dcterms:W3CDTF">2020-05-25T03:34:00Z</dcterms:created>
  <dcterms:modified xsi:type="dcterms:W3CDTF">2022-06-15T03:43:00Z</dcterms:modified>
</cp:coreProperties>
</file>